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738" w:rsidRDefault="008D4362">
      <w:pPr>
        <w:pStyle w:val="Default"/>
        <w:rPr>
          <w:rFonts w:asciiTheme="minorHAnsi" w:hAnsiTheme="minorHAnsi"/>
        </w:rPr>
      </w:pPr>
      <w:r>
        <w:rPr>
          <w:rFonts w:asciiTheme="minorHAnsi" w:hAnsiTheme="minorHAnsi"/>
          <w:noProof/>
          <w:lang w:val="de-DE" w:eastAsia="de-D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rsidR="00FF4738" w:rsidRDefault="005153B9">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F4738" w:rsidRDefault="008D4362">
                  <w:pPr>
                    <w:jc w:val="center"/>
                    <w:rPr>
                      <w:b/>
                      <w:bCs/>
                      <w:color w:val="002060"/>
                      <w:sz w:val="44"/>
                      <w:szCs w:val="40"/>
                    </w:rPr>
                  </w:pPr>
                  <w:r>
                    <w:rPr>
                      <w:sz w:val="24"/>
                    </w:rPr>
                    <w:t xml:space="preserve">   </w:t>
                  </w:r>
                  <w:r>
                    <w:rPr>
                      <w:b/>
                      <w:bCs/>
                      <w:color w:val="002060"/>
                      <w:sz w:val="44"/>
                      <w:szCs w:val="40"/>
                    </w:rPr>
                    <w:t>Assignment Cover Sheet</w:t>
                  </w:r>
                </w:p>
                <w:p w:rsidR="00FF4738" w:rsidRDefault="00FF4738"/>
              </w:txbxContent>
            </v:textbox>
          </v:shape>
        </w:pict>
      </w:r>
    </w:p>
    <w:p w:rsidR="00FF4738" w:rsidRDefault="00FF4738">
      <w:pPr>
        <w:rPr>
          <w:lang w:val="en-US"/>
        </w:rPr>
      </w:pPr>
    </w:p>
    <w:p w:rsidR="00FF4738" w:rsidRDefault="00FF4738">
      <w:pPr>
        <w:rPr>
          <w:lang w:val="en-US"/>
        </w:rPr>
      </w:pPr>
    </w:p>
    <w:p w:rsidR="00FF4738" w:rsidRDefault="00FF4738">
      <w:pPr>
        <w:rPr>
          <w:lang w:val="en-US"/>
        </w:rPr>
      </w:pPr>
    </w:p>
    <w:tbl>
      <w:tblPr>
        <w:tblStyle w:val="TableGrid"/>
        <w:tblW w:w="0" w:type="auto"/>
        <w:tblLook w:val="04A0" w:firstRow="1" w:lastRow="0" w:firstColumn="1" w:lastColumn="0" w:noHBand="0" w:noVBand="1"/>
      </w:tblPr>
      <w:tblGrid>
        <w:gridCol w:w="2566"/>
        <w:gridCol w:w="6676"/>
      </w:tblGrid>
      <w:tr w:rsidR="00FF47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4738" w:rsidRDefault="008D4362">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FF4738" w:rsidRDefault="008D4362">
            <w:pPr>
              <w:pStyle w:val="Default"/>
              <w:rPr>
                <w:rFonts w:ascii="Arial" w:hAnsi="Arial" w:cs="Arial"/>
              </w:rPr>
            </w:pPr>
            <w:r>
              <w:rPr>
                <w:rFonts w:ascii="Arial" w:hAnsi="Arial" w:cs="Arial"/>
              </w:rPr>
              <w:t>Zhivka Borisova</w:t>
            </w:r>
          </w:p>
        </w:tc>
      </w:tr>
      <w:tr w:rsidR="00FF47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4738" w:rsidRDefault="008D4362">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FF4738" w:rsidRDefault="008D4362">
            <w:pPr>
              <w:pStyle w:val="Default"/>
              <w:rPr>
                <w:rFonts w:ascii="Arial" w:hAnsi="Arial" w:cs="Arial"/>
              </w:rPr>
            </w:pPr>
            <w:r>
              <w:rPr>
                <w:rFonts w:ascii="Arial" w:hAnsi="Arial" w:cs="Arial"/>
                <w:color w:val="222222"/>
                <w:shd w:val="clear" w:color="auto" w:fill="FFFFFF"/>
              </w:rPr>
              <w:t>19648</w:t>
            </w:r>
          </w:p>
        </w:tc>
      </w:tr>
      <w:tr w:rsidR="00FF47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4738" w:rsidRDefault="008D4362">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FF4738" w:rsidRDefault="008D4362">
            <w:pPr>
              <w:pStyle w:val="Default"/>
              <w:rPr>
                <w:rFonts w:ascii="Arial" w:hAnsi="Arial" w:cs="Arial"/>
              </w:rPr>
            </w:pPr>
            <w:r>
              <w:rPr>
                <w:rFonts w:ascii="Arial" w:hAnsi="Arial" w:cs="Arial"/>
              </w:rPr>
              <w:t>Diploma in Forensic Accounting</w:t>
            </w:r>
          </w:p>
        </w:tc>
      </w:tr>
      <w:tr w:rsidR="00FF473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FF4738" w:rsidRDefault="008D4362">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FF4738" w:rsidRDefault="005153B9">
            <w:pPr>
              <w:rPr>
                <w:rFonts w:ascii="Arial" w:hAnsi="Arial" w:cs="Arial"/>
                <w:sz w:val="24"/>
                <w:szCs w:val="24"/>
              </w:rPr>
            </w:pPr>
            <w:r>
              <w:rPr>
                <w:rFonts w:ascii="Arial" w:hAnsi="Arial" w:cs="Arial"/>
                <w:sz w:val="24"/>
                <w:szCs w:val="24"/>
              </w:rPr>
              <w:t>7</w:t>
            </w:r>
          </w:p>
        </w:tc>
      </w:tr>
    </w:tbl>
    <w:p w:rsidR="00FF4738" w:rsidRDefault="00FF4738">
      <w:pPr>
        <w:rPr>
          <w:b/>
          <w:lang w:val="en-US"/>
        </w:rPr>
      </w:pPr>
    </w:p>
    <w:p w:rsidR="00FF4738" w:rsidRDefault="008D4362">
      <w:pPr>
        <w:rPr>
          <w:b/>
          <w:sz w:val="28"/>
          <w:lang w:val="en-US"/>
        </w:rPr>
      </w:pPr>
      <w:r>
        <w:rPr>
          <w:b/>
          <w:sz w:val="28"/>
          <w:lang w:val="en-US"/>
        </w:rPr>
        <w:t>Marking Criteria:</w:t>
      </w:r>
    </w:p>
    <w:p w:rsidR="00FF4738" w:rsidRDefault="008D4362">
      <w:pPr>
        <w:rPr>
          <w:lang w:val="en-US"/>
        </w:rPr>
      </w:pPr>
      <w:r>
        <w:rPr>
          <w:lang w:val="en-US"/>
        </w:rPr>
        <w:t>We expect the learners to write minimum one well expressed point in three lines against each allocated mark. This means one needs to write 15 lines with 5 well expressed points to get high grades for a 5 marks question.</w:t>
      </w:r>
    </w:p>
    <w:p w:rsidR="00FF4738" w:rsidRDefault="008D4362">
      <w:pPr>
        <w:rPr>
          <w:lang w:val="en-US"/>
        </w:rPr>
      </w:pPr>
      <w:r>
        <w:rPr>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FF4738">
        <w:tc>
          <w:tcPr>
            <w:tcW w:w="9242" w:type="dxa"/>
          </w:tcPr>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b/>
                <w:bCs/>
                <w:color w:val="C00000"/>
                <w:sz w:val="24"/>
                <w:szCs w:val="24"/>
              </w:rPr>
              <w:t xml:space="preserve">1. </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roofErr w:type="spellStart"/>
            <w:r w:rsidRPr="005153B9">
              <w:rPr>
                <w:rFonts w:ascii="Arial" w:eastAsia="Times New Roman" w:hAnsi="Arial" w:cs="Arial"/>
                <w:color w:val="000000"/>
                <w:sz w:val="24"/>
                <w:szCs w:val="24"/>
              </w:rPr>
              <w:t>i</w:t>
            </w:r>
            <w:proofErr w:type="spellEnd"/>
            <w:r w:rsidRPr="005153B9">
              <w:rPr>
                <w:rFonts w:ascii="Arial" w:eastAsia="Times New Roman" w:hAnsi="Arial" w:cs="Arial"/>
                <w:color w:val="000000"/>
                <w:sz w:val="24"/>
                <w:szCs w:val="24"/>
              </w:rPr>
              <w:t>. What are non - financial sources for evidence?</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 xml:space="preserve">Evidence associated with a financial crime does not necessarily have to be of a financial nature. Although the focus </w:t>
            </w:r>
            <w:bookmarkStart w:id="0" w:name="_GoBack"/>
            <w:bookmarkEnd w:id="0"/>
            <w:r w:rsidRPr="005153B9">
              <w:rPr>
                <w:rFonts w:ascii="Arial" w:eastAsia="Times New Roman" w:hAnsi="Arial" w:cs="Arial"/>
                <w:sz w:val="24"/>
                <w:szCs w:val="24"/>
              </w:rPr>
              <w:t xml:space="preserve">of any fraud investigation is on financial evidence, it is important that auditors and investigators do not rule out the possibility of valuable non-financial evidence. </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sz w:val="24"/>
                <w:szCs w:val="24"/>
              </w:rPr>
              <w:t xml:space="preserve">Non-financial sources of evidence range from interviews, handwriting analysis and document examination to the physiological traits of the fraudster. Physiological traits refer to the fraudster’s </w:t>
            </w:r>
            <w:proofErr w:type="spellStart"/>
            <w:r w:rsidRPr="005153B9">
              <w:rPr>
                <w:rFonts w:ascii="Arial" w:eastAsia="Times New Roman" w:hAnsi="Arial" w:cs="Arial"/>
                <w:sz w:val="24"/>
                <w:szCs w:val="24"/>
              </w:rPr>
              <w:t>behaviour</w:t>
            </w:r>
            <w:proofErr w:type="spellEnd"/>
            <w:r w:rsidRPr="005153B9">
              <w:rPr>
                <w:rFonts w:ascii="Arial" w:eastAsia="Times New Roman" w:hAnsi="Arial" w:cs="Arial"/>
                <w:sz w:val="24"/>
                <w:szCs w:val="24"/>
              </w:rPr>
              <w:t xml:space="preserve">, expressions, or any communication that indicates the fraudster’s involvement in the crime. The central aim of physiological techniques is to detect fraud and deception. A fraudster who is committing a crime will invariably be secretive about his/her activities and may even be using deception in appearance and communication. Physiological concepts and techniques are also important for obtaining useful information. </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color w:val="000000"/>
                <w:sz w:val="24"/>
                <w:szCs w:val="24"/>
              </w:rPr>
              <w:t>ii. What is the importance of body language in the interviewing procedure?</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 xml:space="preserve">Humans reveal much more through their body language than through their words, especially when they are under stress; therefore, an interviewer should always </w:t>
            </w:r>
            <w:r w:rsidRPr="005153B9">
              <w:rPr>
                <w:rFonts w:ascii="Arial" w:eastAsia="Times New Roman" w:hAnsi="Arial" w:cs="Arial"/>
                <w:sz w:val="24"/>
                <w:szCs w:val="24"/>
              </w:rPr>
              <w:lastRenderedPageBreak/>
              <w:t xml:space="preserve">observe gestures and non-verbal </w:t>
            </w:r>
            <w:proofErr w:type="spellStart"/>
            <w:r w:rsidRPr="005153B9">
              <w:rPr>
                <w:rFonts w:ascii="Arial" w:eastAsia="Times New Roman" w:hAnsi="Arial" w:cs="Arial"/>
                <w:sz w:val="24"/>
                <w:szCs w:val="24"/>
              </w:rPr>
              <w:t>behaviour</w:t>
            </w:r>
            <w:proofErr w:type="spellEnd"/>
            <w:r w:rsidRPr="005153B9">
              <w:rPr>
                <w:rFonts w:ascii="Arial" w:eastAsia="Times New Roman" w:hAnsi="Arial" w:cs="Arial"/>
                <w:sz w:val="24"/>
                <w:szCs w:val="24"/>
              </w:rPr>
              <w:t xml:space="preserve">. A well trained and experienced fraud investigator will watch out for signs of stress through a process called calibration. This process gauges a witness’s </w:t>
            </w:r>
            <w:proofErr w:type="spellStart"/>
            <w:r w:rsidRPr="005153B9">
              <w:rPr>
                <w:rFonts w:ascii="Arial" w:eastAsia="Times New Roman" w:hAnsi="Arial" w:cs="Arial"/>
                <w:sz w:val="24"/>
                <w:szCs w:val="24"/>
              </w:rPr>
              <w:t>candour</w:t>
            </w:r>
            <w:proofErr w:type="spellEnd"/>
            <w:r w:rsidRPr="005153B9">
              <w:rPr>
                <w:rFonts w:ascii="Arial" w:eastAsia="Times New Roman" w:hAnsi="Arial" w:cs="Arial"/>
                <w:sz w:val="24"/>
                <w:szCs w:val="24"/>
              </w:rPr>
              <w:t>.</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sz w:val="24"/>
                <w:szCs w:val="24"/>
              </w:rPr>
              <w:t>The “Body Language” is a</w:t>
            </w:r>
            <w:r w:rsidRPr="005153B9">
              <w:rPr>
                <w:rFonts w:ascii="Arial" w:eastAsia="Times New Roman" w:hAnsi="Arial" w:cs="Arial"/>
                <w:color w:val="000000"/>
                <w:sz w:val="24"/>
                <w:szCs w:val="24"/>
              </w:rPr>
              <w:t xml:space="preserve"> person’s gestures and facial expressions which are indicators of his/her emotions. Usually a person displaying these movements is unaware of them. Indicators of a person’s emotions include body language such as speed of talking, pitch of voice, crossing the arms or legs, and other such gestures. Certain anxiety- or stress-related gestures or movements may hint at deception. Such cues include stuttering, speech errors, hesitation, increased vocal pitch, excessive blinking, pupil dilation, touching the hands or the face excessively, shrugging the shoulders, etc. However, such body language cues are not absolutes and cannot be taken as factual evidence of a person’s guilt. Studies related to body language suggest that, since the legs are further from the brain, they are harder to control than other extremities. The feet will point in the direction in which the person wants to go, ankles on knees suggest stubbornness, and tilting the head indicates friendliness. Body language differs from person to person. Due to their </w:t>
            </w:r>
            <w:proofErr w:type="spellStart"/>
            <w:r w:rsidRPr="005153B9">
              <w:rPr>
                <w:rFonts w:ascii="Arial" w:eastAsia="Times New Roman" w:hAnsi="Arial" w:cs="Arial"/>
                <w:color w:val="000000"/>
                <w:sz w:val="24"/>
                <w:szCs w:val="24"/>
              </w:rPr>
              <w:t>sceptical</w:t>
            </w:r>
            <w:proofErr w:type="spellEnd"/>
            <w:r w:rsidRPr="005153B9">
              <w:rPr>
                <w:rFonts w:ascii="Arial" w:eastAsia="Times New Roman" w:hAnsi="Arial" w:cs="Arial"/>
                <w:color w:val="000000"/>
                <w:sz w:val="24"/>
                <w:szCs w:val="24"/>
              </w:rPr>
              <w:t xml:space="preserve"> nature, auditors and forensic accountants tend to read a suspect’s body language as deceptive. Therefore, given these biases and the circumstantial nature of reading body language as a deception-detecting tool, it is not admissible in court as evidence.</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color w:val="000000"/>
                <w:sz w:val="24"/>
                <w:szCs w:val="24"/>
              </w:rPr>
              <w:t>iii. How is the SCAN Analysis used as an investigative technique?</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sz w:val="24"/>
                <w:szCs w:val="24"/>
              </w:rPr>
              <w:t xml:space="preserve">Scientific Content Analysis (SCAN) is similar to statement analysis. SCAN, like statement analysis, is aimed at detecting deception rather than determining truthfulness. It is cross-cultural, which makes it more applicable. Fraudsters tend to deceive indirectly rather than tell blatant lies. This indirect deception involves hedging, leaving out critical facts, pretending to be forgetful or ignorant, using a choice of words that distances them from the event, etc. In order to avoid making damaging statements, deceitful people use “verbal trickery”. The analyst needs an unambiguous, truthful statement from the suspect in order for SCAN to be effective. Like statement analysis, SCAN looks for a shift in pronouns and gaps in the narrative, which indicate deception. Feigning ignorance (saying “I do not know” often) is considered an attempt to conceal truthful facts, and a change in tense </w:t>
            </w:r>
            <w:r w:rsidRPr="005153B9">
              <w:rPr>
                <w:rFonts w:ascii="Arial" w:eastAsia="Times New Roman" w:hAnsi="Arial" w:cs="Arial"/>
                <w:sz w:val="24"/>
                <w:szCs w:val="24"/>
              </w:rPr>
              <w:lastRenderedPageBreak/>
              <w:t>reflects a strong emotional response. In addition, SCAN uses numerous other techniques. According to some experts, it is as effective as a polygraph test. However, both polygraph tests and SCAN are investigative tools and are not legally admissible evidence.</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color w:val="000000"/>
                <w:sz w:val="24"/>
                <w:szCs w:val="24"/>
              </w:rPr>
              <w:t>iv. What are visual assessing cues? How do eyes of the victim help the interviewer?</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 xml:space="preserve">Eye language is a more reliable indicator of truthfulness. According to most experts, the eyes are the most communicative part of the body. Visual Accessing Cues (VAC) refers to the language of the eyes and the principles related to it. Eye movement cues and interpretations are only applicable to right-handed people. Therefore it is important to know whether the interviewee is left-handed or right-handed in order to interpret the cues correctly and to avoid interpreting truthful responses as deceitful. When interviewees are asked a question that requires them to recall something, their eye movements betray whether the thought process is truthful or deceptive. </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Blinking is also a part of eye language principles. Normally, a person blinks about 20 times per minute, and each blink lasts about a quarter of a second. When a person is under stress, he/she tends to blink faster and more frequently. Some other circumstances not associated with deception, such as being on TV or lack of sleep, cause a person to blink faster or more often. Other eye language cues include:</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Gazing downward. This normally indicates guilt, defeat or submission.</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Raising eyebrows. This indicates surprise, disbelief, frustration or uncertainty.</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Raising one eyebrow with head tilted back signifies arrogance or disdain.</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Dilation of pupils indicates interest in something.</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Eye language is a vast area. Coupled with best practices during interviews, it can lead to reliable interpretations and results.</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color w:val="000000"/>
                <w:sz w:val="24"/>
                <w:szCs w:val="24"/>
              </w:rPr>
              <w:t>v. In addition to body language, there are other cues which help to identify lies.’</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b/>
                <w:color w:val="000000"/>
                <w:sz w:val="24"/>
                <w:szCs w:val="24"/>
                <w:u w:val="single"/>
              </w:rPr>
              <w:t>Deception Cues -</w:t>
            </w:r>
            <w:r w:rsidRPr="005153B9">
              <w:rPr>
                <w:rFonts w:ascii="Arial" w:eastAsia="Times New Roman" w:hAnsi="Arial" w:cs="Arial"/>
                <w:b/>
                <w:bCs/>
                <w:color w:val="5B9CD6"/>
                <w:sz w:val="24"/>
                <w:szCs w:val="24"/>
              </w:rPr>
              <w:t xml:space="preserve"> </w:t>
            </w:r>
            <w:r w:rsidRPr="005153B9">
              <w:rPr>
                <w:rFonts w:ascii="Arial" w:eastAsia="Times New Roman" w:hAnsi="Arial" w:cs="Arial"/>
                <w:color w:val="000000"/>
                <w:sz w:val="24"/>
                <w:szCs w:val="24"/>
              </w:rPr>
              <w:t>Other cues, which can be used to identify deception. These include the following:</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Interpersonal interactions. For example, a person may shake his head and say “yes” after making a point; these are inconsistent gestures.</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 xml:space="preserve">Emotional states. A deceitful person will usually avoid touching the person </w:t>
            </w:r>
            <w:r w:rsidRPr="005153B9">
              <w:rPr>
                <w:rFonts w:ascii="Arial" w:eastAsia="Times New Roman" w:hAnsi="Arial" w:cs="Arial"/>
                <w:sz w:val="24"/>
                <w:szCs w:val="24"/>
              </w:rPr>
              <w:lastRenderedPageBreak/>
              <w:t>investigating or questioning him/her.</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 xml:space="preserve">Verbal content. For example, reflecting the question in the answer immediately after the question has been asked. Question: “Did you write a </w:t>
            </w:r>
            <w:proofErr w:type="spellStart"/>
            <w:r w:rsidRPr="005153B9">
              <w:rPr>
                <w:rFonts w:ascii="Arial" w:eastAsia="Times New Roman" w:hAnsi="Arial" w:cs="Arial"/>
                <w:sz w:val="24"/>
                <w:szCs w:val="24"/>
              </w:rPr>
              <w:t>cheque</w:t>
            </w:r>
            <w:proofErr w:type="spellEnd"/>
            <w:r w:rsidRPr="005153B9">
              <w:rPr>
                <w:rFonts w:ascii="Arial" w:eastAsia="Times New Roman" w:hAnsi="Arial" w:cs="Arial"/>
                <w:sz w:val="24"/>
                <w:szCs w:val="24"/>
              </w:rPr>
              <w:t xml:space="preserve"> to yourself?” Answer: “No, I did not write a </w:t>
            </w:r>
            <w:proofErr w:type="spellStart"/>
            <w:r w:rsidRPr="005153B9">
              <w:rPr>
                <w:rFonts w:ascii="Arial" w:eastAsia="Times New Roman" w:hAnsi="Arial" w:cs="Arial"/>
                <w:sz w:val="24"/>
                <w:szCs w:val="24"/>
              </w:rPr>
              <w:t>cheque</w:t>
            </w:r>
            <w:proofErr w:type="spellEnd"/>
            <w:r w:rsidRPr="005153B9">
              <w:rPr>
                <w:rFonts w:ascii="Arial" w:eastAsia="Times New Roman" w:hAnsi="Arial" w:cs="Arial"/>
                <w:sz w:val="24"/>
                <w:szCs w:val="24"/>
              </w:rPr>
              <w:t xml:space="preserve"> to myself.”</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How comments are phrased. Replacing the pronoun in order to disassociate people or events, for example using “the equipment” instead of “my equipment”.</w:t>
            </w:r>
          </w:p>
          <w:p w:rsidR="005153B9" w:rsidRPr="005153B9" w:rsidRDefault="005153B9" w:rsidP="005153B9">
            <w:pPr>
              <w:numPr>
                <w:ilvl w:val="0"/>
                <w:numId w:val="23"/>
              </w:numPr>
              <w:autoSpaceDE w:val="0"/>
              <w:autoSpaceDN w:val="0"/>
              <w:adjustRightInd w:val="0"/>
              <w:spacing w:line="360" w:lineRule="auto"/>
              <w:contextualSpacing/>
              <w:rPr>
                <w:rFonts w:ascii="Arial" w:eastAsia="Times New Roman" w:hAnsi="Arial" w:cs="Arial"/>
                <w:sz w:val="24"/>
                <w:szCs w:val="24"/>
              </w:rPr>
            </w:pPr>
            <w:r w:rsidRPr="005153B9">
              <w:rPr>
                <w:rFonts w:ascii="Arial" w:eastAsia="Times New Roman" w:hAnsi="Arial" w:cs="Arial"/>
                <w:sz w:val="24"/>
                <w:szCs w:val="24"/>
              </w:rPr>
              <w:t>Psychological frames. Lies and deceitful statements always leave out details of what went wrong, except for details related to delays and cancellations. It is always helpful if the investigator is aware of these cues; however, there is enough inconsistency associated with body language to create problems and make it inadmissible in court. More reliable deception detection methodologies such as SCAN include basic signs (refer to iii).</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r w:rsidRPr="005153B9">
              <w:rPr>
                <w:rFonts w:ascii="Arial" w:eastAsia="Times New Roman" w:hAnsi="Arial" w:cs="Arial"/>
                <w:b/>
                <w:bCs/>
                <w:color w:val="C00000"/>
                <w:sz w:val="24"/>
                <w:szCs w:val="24"/>
              </w:rPr>
              <w:t xml:space="preserve">2. </w:t>
            </w:r>
            <w:r w:rsidRPr="005153B9">
              <w:rPr>
                <w:rFonts w:ascii="Arial" w:eastAsia="Times New Roman" w:hAnsi="Arial" w:cs="Arial"/>
                <w:color w:val="000000"/>
                <w:sz w:val="24"/>
                <w:szCs w:val="24"/>
              </w:rPr>
              <w:t>‘Asking questions in an audit is different from asking questions in fraud investigation.’</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The job of auditors in an external or internal audit is to ask questions. However, there is a difference between asking questions during an audit and during a fraud investigation. In order to ask effective questions during a fraud investigation, it is important to use best practices for interview techniques. According to the founder of the Association of Certified Fraud Examiners (ACFE), Joe Wells, ‘‘the best clues usually don’t come from the books but from the people who work with them.’’ Questions asked during an interview might fall into any of the following categories: (</w:t>
            </w:r>
            <w:proofErr w:type="spellStart"/>
            <w:r w:rsidRPr="005153B9">
              <w:rPr>
                <w:rFonts w:ascii="Arial" w:eastAsia="Times New Roman" w:hAnsi="Arial" w:cs="Arial"/>
                <w:sz w:val="24"/>
                <w:szCs w:val="24"/>
              </w:rPr>
              <w:t>i</w:t>
            </w:r>
            <w:proofErr w:type="spellEnd"/>
            <w:r w:rsidRPr="005153B9">
              <w:rPr>
                <w:rFonts w:ascii="Arial" w:eastAsia="Times New Roman" w:hAnsi="Arial" w:cs="Arial"/>
                <w:sz w:val="24"/>
                <w:szCs w:val="24"/>
              </w:rPr>
              <w:t>) introductory, (ii) informational, (iii) assessment, (iv) closing, (v) admission-seeking. According to most experts, open-ended questions are much more effective than simple “yes” or “no” questions. One of the risks associated with interviews during a fraud investigation is that the interviewer may not be trained or experienced in employing best practices for interviews, or worse, may not be familiar with the legal protocol of carrying out interviews. In the event of the latter, the case may not reach a desirable conclusion and may even provoke a counter-lawsuit.</w:t>
            </w:r>
          </w:p>
          <w:p w:rsidR="005153B9" w:rsidRPr="005153B9" w:rsidRDefault="005153B9" w:rsidP="005153B9">
            <w:pPr>
              <w:autoSpaceDE w:val="0"/>
              <w:autoSpaceDN w:val="0"/>
              <w:adjustRightInd w:val="0"/>
              <w:spacing w:line="360" w:lineRule="auto"/>
              <w:rPr>
                <w:rFonts w:ascii="Arial" w:eastAsia="Times New Roman" w:hAnsi="Arial" w:cs="Arial"/>
                <w:color w:val="000000"/>
                <w:sz w:val="24"/>
                <w:szCs w:val="24"/>
              </w:rPr>
            </w:pPr>
          </w:p>
          <w:p w:rsidR="005153B9" w:rsidRPr="005153B9" w:rsidRDefault="005153B9" w:rsidP="005153B9">
            <w:pPr>
              <w:spacing w:line="360" w:lineRule="auto"/>
              <w:rPr>
                <w:rFonts w:ascii="Arial" w:eastAsia="Times New Roman" w:hAnsi="Arial" w:cs="Arial"/>
                <w:color w:val="000000"/>
                <w:sz w:val="24"/>
                <w:szCs w:val="24"/>
              </w:rPr>
            </w:pPr>
            <w:r w:rsidRPr="005153B9">
              <w:rPr>
                <w:rFonts w:ascii="Arial" w:eastAsia="Times New Roman" w:hAnsi="Arial" w:cs="Arial"/>
                <w:b/>
                <w:bCs/>
                <w:color w:val="C00000"/>
                <w:sz w:val="24"/>
                <w:szCs w:val="24"/>
              </w:rPr>
              <w:t xml:space="preserve">3. </w:t>
            </w:r>
            <w:r w:rsidRPr="005153B9">
              <w:rPr>
                <w:rFonts w:ascii="Arial" w:eastAsia="Times New Roman" w:hAnsi="Arial" w:cs="Arial"/>
                <w:color w:val="000000"/>
                <w:sz w:val="24"/>
                <w:szCs w:val="24"/>
              </w:rPr>
              <w:t xml:space="preserve">Interviewing procedure for a financially sophisticated victim: </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 xml:space="preserve">Although there is no methodological difference when interviewing a financially savvy </w:t>
            </w:r>
            <w:r w:rsidRPr="005153B9">
              <w:rPr>
                <w:rFonts w:ascii="Arial" w:eastAsia="Times New Roman" w:hAnsi="Arial" w:cs="Arial"/>
                <w:sz w:val="24"/>
                <w:szCs w:val="24"/>
              </w:rPr>
              <w:lastRenderedPageBreak/>
              <w:t>witness/victim, a language barrier is an added aspect of such an interview. Understanding the language and reasoning used by accountants and other financial professionals will substantially reduce the communications barrier. Once this barrier is lessened, the interview becomes a matter of attention to details. The greatest difference between conducting an interview in the case of financial crimes compared with other crimes, in my opinion, is the need for preparation. In the case of other crimes, for example, murder, complication is seldom involved. Often, it is a smoking gun homicide, and you are questioning witnesses about personal observations. Financial crimes are quite different. Many times complex corporate structures, nominee owners, and offshore transactions are involved that tend to blur or completely obliterate true ownership. There are complex financial transactions that, although perfectly legal, seem somehow illegitimate. Financial crime interviews are all about the details. Because these types of witnesses/victims often will recount complicated transactions, simple yes-and-no questioning or “tell me what happened” open-ended questions will yield nothing. Therefore, preparation is of paramount importance.</w:t>
            </w:r>
          </w:p>
          <w:p w:rsidR="005153B9" w:rsidRPr="005153B9" w:rsidRDefault="005153B9" w:rsidP="005153B9">
            <w:pPr>
              <w:autoSpaceDE w:val="0"/>
              <w:autoSpaceDN w:val="0"/>
              <w:adjustRightInd w:val="0"/>
              <w:spacing w:line="360" w:lineRule="auto"/>
              <w:rPr>
                <w:rFonts w:ascii="Arial" w:eastAsia="Times New Roman" w:hAnsi="Arial" w:cs="Arial"/>
                <w:sz w:val="24"/>
                <w:szCs w:val="24"/>
              </w:rPr>
            </w:pPr>
            <w:r w:rsidRPr="005153B9">
              <w:rPr>
                <w:rFonts w:ascii="Arial" w:eastAsia="Times New Roman" w:hAnsi="Arial" w:cs="Arial"/>
                <w:sz w:val="24"/>
                <w:szCs w:val="24"/>
              </w:rPr>
              <w:t xml:space="preserve">When interviewing witnesses in financial crimes, the most critical time is before the interview even begins. Sometimes, the opportunity to interview a particular witness will present itself only once. </w:t>
            </w:r>
          </w:p>
          <w:p w:rsidR="00FF4738" w:rsidRPr="00176E41" w:rsidRDefault="005153B9" w:rsidP="005153B9">
            <w:pPr>
              <w:autoSpaceDE w:val="0"/>
              <w:autoSpaceDN w:val="0"/>
              <w:adjustRightInd w:val="0"/>
              <w:spacing w:line="360" w:lineRule="auto"/>
              <w:rPr>
                <w:rFonts w:ascii="Arial" w:hAnsi="Arial" w:cs="Arial"/>
              </w:rPr>
            </w:pPr>
            <w:r w:rsidRPr="005153B9">
              <w:rPr>
                <w:rFonts w:ascii="Arial" w:eastAsia="Times New Roman" w:hAnsi="Arial" w:cs="Arial"/>
                <w:sz w:val="24"/>
                <w:szCs w:val="24"/>
              </w:rPr>
              <w:t>Last but not least, it is important to know the specific language that the financial witness/victim speaks (accounting-</w:t>
            </w:r>
            <w:proofErr w:type="spellStart"/>
            <w:r w:rsidRPr="005153B9">
              <w:rPr>
                <w:rFonts w:ascii="Arial" w:eastAsia="Times New Roman" w:hAnsi="Arial" w:cs="Arial"/>
                <w:sz w:val="24"/>
                <w:szCs w:val="24"/>
              </w:rPr>
              <w:t>ese</w:t>
            </w:r>
            <w:proofErr w:type="spellEnd"/>
            <w:r w:rsidRPr="005153B9">
              <w:rPr>
                <w:rFonts w:ascii="Arial" w:eastAsia="Times New Roman" w:hAnsi="Arial" w:cs="Arial"/>
                <w:sz w:val="24"/>
                <w:szCs w:val="24"/>
              </w:rPr>
              <w:t xml:space="preserve">, SEC-speak, etc.), to conduct research on similar enterprises within that industry, to examine industry-specific information and collect the documents that the witness/victim likely will testify about.  </w:t>
            </w:r>
          </w:p>
        </w:tc>
      </w:tr>
    </w:tbl>
    <w:p w:rsidR="00FF4738" w:rsidRDefault="00FF4738">
      <w:pPr>
        <w:autoSpaceDE w:val="0"/>
        <w:autoSpaceDN w:val="0"/>
        <w:adjustRightInd w:val="0"/>
        <w:spacing w:after="0" w:line="240" w:lineRule="auto"/>
        <w:rPr>
          <w:rFonts w:cs="CalvertMT-Bold"/>
          <w:b/>
          <w:bCs/>
          <w:color w:val="002060"/>
          <w:sz w:val="28"/>
          <w:lang w:val="en-US"/>
        </w:rPr>
      </w:pPr>
    </w:p>
    <w:p w:rsidR="00676F89" w:rsidRDefault="00676F89">
      <w:pPr>
        <w:autoSpaceDE w:val="0"/>
        <w:autoSpaceDN w:val="0"/>
        <w:adjustRightInd w:val="0"/>
        <w:spacing w:after="0" w:line="240" w:lineRule="auto"/>
        <w:rPr>
          <w:rFonts w:cs="CalvertMT-Bold"/>
          <w:b/>
          <w:bCs/>
          <w:color w:val="002060"/>
          <w:sz w:val="28"/>
          <w:lang w:val="en-US"/>
        </w:rPr>
      </w:pPr>
    </w:p>
    <w:p w:rsidR="00FF4738" w:rsidRDefault="008D4362">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FF4738" w:rsidRDefault="00FF4738">
      <w:pPr>
        <w:autoSpaceDE w:val="0"/>
        <w:autoSpaceDN w:val="0"/>
        <w:adjustRightInd w:val="0"/>
        <w:spacing w:after="0" w:line="240" w:lineRule="auto"/>
        <w:rPr>
          <w:rFonts w:cs="CalvertMT-Bold"/>
          <w:b/>
          <w:bCs/>
          <w:color w:val="001AE6"/>
          <w:lang w:val="en-US"/>
        </w:rPr>
      </w:pPr>
    </w:p>
    <w:p w:rsidR="00FF4738" w:rsidRDefault="008D4362">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FF4738" w:rsidRDefault="00FF4738">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FF4738">
        <w:tc>
          <w:tcPr>
            <w:tcW w:w="2310" w:type="dxa"/>
            <w:shd w:val="clear" w:color="auto" w:fill="D9D9D9" w:themeFill="background1" w:themeFillShade="D9"/>
          </w:tcPr>
          <w:p w:rsidR="00FF4738" w:rsidRDefault="008D4362">
            <w:pPr>
              <w:rPr>
                <w:rFonts w:cs="Bliss-Regular"/>
                <w:color w:val="000000"/>
              </w:rPr>
            </w:pPr>
            <w:r>
              <w:rPr>
                <w:rFonts w:cs="Bliss-Regular"/>
                <w:color w:val="000000"/>
              </w:rPr>
              <w:t>Student Signature</w:t>
            </w:r>
          </w:p>
        </w:tc>
        <w:tc>
          <w:tcPr>
            <w:tcW w:w="4035" w:type="dxa"/>
          </w:tcPr>
          <w:p w:rsidR="00FF4738" w:rsidRDefault="008D4362">
            <w:pPr>
              <w:rPr>
                <w:rFonts w:cs="Bliss-Regular"/>
                <w:color w:val="000000"/>
              </w:rPr>
            </w:pPr>
            <w:r>
              <w:rPr>
                <w:noProof/>
                <w:lang w:val="de-DE" w:eastAsia="de-DE"/>
              </w:rPr>
              <w:drawing>
                <wp:inline distT="0" distB="0" distL="0" distR="0" wp14:anchorId="24D9907D" wp14:editId="4988D92F">
                  <wp:extent cx="1047750" cy="35645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52902" cy="358205"/>
                          </a:xfrm>
                          <a:prstGeom prst="rect">
                            <a:avLst/>
                          </a:prstGeom>
                        </pic:spPr>
                      </pic:pic>
                    </a:graphicData>
                  </a:graphic>
                </wp:inline>
              </w:drawing>
            </w:r>
          </w:p>
        </w:tc>
        <w:tc>
          <w:tcPr>
            <w:tcW w:w="1276" w:type="dxa"/>
            <w:shd w:val="clear" w:color="auto" w:fill="D9D9D9" w:themeFill="background1" w:themeFillShade="D9"/>
          </w:tcPr>
          <w:p w:rsidR="00FF4738" w:rsidRDefault="008D4362">
            <w:pPr>
              <w:rPr>
                <w:rFonts w:cs="Bliss-Regular"/>
                <w:color w:val="000000"/>
              </w:rPr>
            </w:pPr>
            <w:r>
              <w:rPr>
                <w:rFonts w:cs="Bliss-Regular"/>
                <w:color w:val="000000"/>
              </w:rPr>
              <w:t>Date</w:t>
            </w:r>
          </w:p>
        </w:tc>
        <w:tc>
          <w:tcPr>
            <w:tcW w:w="1621" w:type="dxa"/>
          </w:tcPr>
          <w:p w:rsidR="00FF4738" w:rsidRDefault="00176E41" w:rsidP="005153B9">
            <w:pPr>
              <w:rPr>
                <w:rFonts w:cs="Bliss-Regular"/>
                <w:color w:val="000000"/>
              </w:rPr>
            </w:pPr>
            <w:r>
              <w:rPr>
                <w:rFonts w:cs="Bliss-Regular"/>
                <w:color w:val="000000"/>
              </w:rPr>
              <w:t>1</w:t>
            </w:r>
            <w:r w:rsidR="005153B9">
              <w:rPr>
                <w:rFonts w:cs="Bliss-Regular"/>
                <w:color w:val="000000"/>
              </w:rPr>
              <w:t>5</w:t>
            </w:r>
            <w:r w:rsidR="008D4362">
              <w:rPr>
                <w:rFonts w:cs="Bliss-Regular"/>
                <w:color w:val="000000"/>
              </w:rPr>
              <w:t>.0</w:t>
            </w:r>
            <w:r w:rsidR="0052153C">
              <w:rPr>
                <w:rFonts w:cs="Bliss-Regular"/>
                <w:color w:val="000000"/>
              </w:rPr>
              <w:t>2</w:t>
            </w:r>
            <w:r w:rsidR="008D4362">
              <w:rPr>
                <w:rFonts w:cs="Bliss-Regular"/>
                <w:color w:val="000000"/>
              </w:rPr>
              <w:t>.201</w:t>
            </w:r>
            <w:r w:rsidR="0052153C">
              <w:rPr>
                <w:rFonts w:cs="Bliss-Regular"/>
                <w:color w:val="000000"/>
              </w:rPr>
              <w:t>9</w:t>
            </w:r>
          </w:p>
        </w:tc>
      </w:tr>
    </w:tbl>
    <w:p w:rsidR="00FF4738" w:rsidRDefault="00FF4738">
      <w:pPr>
        <w:rPr>
          <w:rFonts w:cs="Bliss-Regular"/>
          <w:color w:val="000000"/>
          <w:lang w:val="en-US"/>
        </w:rPr>
      </w:pPr>
    </w:p>
    <w:p w:rsidR="00FF4738" w:rsidRDefault="008D4362">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FF4738">
        <w:trPr>
          <w:trHeight w:val="249"/>
        </w:trPr>
        <w:tc>
          <w:tcPr>
            <w:tcW w:w="4621" w:type="dxa"/>
            <w:shd w:val="clear" w:color="auto" w:fill="D9D9D9" w:themeFill="background1" w:themeFillShade="D9"/>
          </w:tcPr>
          <w:p w:rsidR="00FF4738" w:rsidRDefault="008D4362">
            <w:pPr>
              <w:rPr>
                <w:b/>
                <w:color w:val="002060"/>
              </w:rPr>
            </w:pPr>
            <w:r>
              <w:rPr>
                <w:b/>
                <w:color w:val="002060"/>
              </w:rPr>
              <w:t>Total Marks</w:t>
            </w:r>
          </w:p>
        </w:tc>
        <w:tc>
          <w:tcPr>
            <w:tcW w:w="4621" w:type="dxa"/>
          </w:tcPr>
          <w:p w:rsidR="00FF4738" w:rsidRDefault="00FF4738">
            <w:pPr>
              <w:rPr>
                <w:rFonts w:cs="Times New Roman"/>
                <w:szCs w:val="32"/>
              </w:rPr>
            </w:pPr>
          </w:p>
        </w:tc>
      </w:tr>
      <w:tr w:rsidR="00FF4738">
        <w:tc>
          <w:tcPr>
            <w:tcW w:w="4621" w:type="dxa"/>
            <w:shd w:val="clear" w:color="auto" w:fill="D9D9D9" w:themeFill="background1" w:themeFillShade="D9"/>
          </w:tcPr>
          <w:p w:rsidR="00FF4738" w:rsidRDefault="008D4362">
            <w:pPr>
              <w:rPr>
                <w:b/>
                <w:color w:val="002060"/>
              </w:rPr>
            </w:pPr>
            <w:r>
              <w:rPr>
                <w:b/>
                <w:color w:val="002060"/>
              </w:rPr>
              <w:t>Marks Obtained</w:t>
            </w:r>
          </w:p>
        </w:tc>
        <w:tc>
          <w:tcPr>
            <w:tcW w:w="4621" w:type="dxa"/>
          </w:tcPr>
          <w:p w:rsidR="00FF4738" w:rsidRDefault="00FF4738">
            <w:pPr>
              <w:rPr>
                <w:rFonts w:cs="Times New Roman"/>
                <w:szCs w:val="32"/>
              </w:rPr>
            </w:pPr>
          </w:p>
        </w:tc>
      </w:tr>
      <w:tr w:rsidR="00FF4738">
        <w:tc>
          <w:tcPr>
            <w:tcW w:w="4621" w:type="dxa"/>
            <w:shd w:val="clear" w:color="auto" w:fill="D9D9D9" w:themeFill="background1" w:themeFillShade="D9"/>
          </w:tcPr>
          <w:p w:rsidR="00FF4738" w:rsidRDefault="008D4362">
            <w:pPr>
              <w:rPr>
                <w:b/>
                <w:color w:val="002060"/>
              </w:rPr>
            </w:pPr>
            <w:r>
              <w:rPr>
                <w:b/>
                <w:color w:val="002060"/>
              </w:rPr>
              <w:t>Percentage / Grade</w:t>
            </w:r>
          </w:p>
        </w:tc>
        <w:tc>
          <w:tcPr>
            <w:tcW w:w="4621" w:type="dxa"/>
          </w:tcPr>
          <w:p w:rsidR="00FF4738" w:rsidRDefault="00FF4738">
            <w:pPr>
              <w:rPr>
                <w:rFonts w:cs="Times New Roman"/>
                <w:szCs w:val="32"/>
              </w:rPr>
            </w:pPr>
          </w:p>
        </w:tc>
      </w:tr>
    </w:tbl>
    <w:p w:rsidR="00FF4738" w:rsidRDefault="00FF4738" w:rsidP="00676F89">
      <w:pPr>
        <w:rPr>
          <w:rFonts w:cs="Times New Roman"/>
          <w:sz w:val="24"/>
          <w:szCs w:val="32"/>
        </w:rPr>
      </w:pPr>
    </w:p>
    <w:sectPr w:rsidR="00FF4738">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4738" w:rsidRDefault="008D4362">
      <w:pPr>
        <w:spacing w:after="0" w:line="240" w:lineRule="auto"/>
      </w:pPr>
      <w:r>
        <w:separator/>
      </w:r>
    </w:p>
  </w:endnote>
  <w:endnote w:type="continuationSeparator" w:id="0">
    <w:p w:rsidR="00FF4738" w:rsidRDefault="008D4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38" w:rsidRDefault="00FF47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38" w:rsidRDefault="008D4362">
    <w:pPr>
      <w:pStyle w:val="Footer"/>
    </w:pPr>
    <w:r>
      <w:t>Unrestricted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38" w:rsidRDefault="00FF47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4738" w:rsidRDefault="008D4362">
      <w:pPr>
        <w:spacing w:after="0" w:line="240" w:lineRule="auto"/>
      </w:pPr>
      <w:r>
        <w:separator/>
      </w:r>
    </w:p>
  </w:footnote>
  <w:footnote w:type="continuationSeparator" w:id="0">
    <w:p w:rsidR="00FF4738" w:rsidRDefault="008D4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38" w:rsidRDefault="00FF47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38" w:rsidRDefault="00FF47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738" w:rsidRDefault="00FF47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D7AE6"/>
    <w:multiLevelType w:val="hybridMultilevel"/>
    <w:tmpl w:val="1E945566"/>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9EB234B"/>
    <w:multiLevelType w:val="hybridMultilevel"/>
    <w:tmpl w:val="4F501B92"/>
    <w:lvl w:ilvl="0" w:tplc="1BF60DEA">
      <w:start w:val="1"/>
      <w:numFmt w:val="lowerRoman"/>
      <w:lvlText w:val="%1."/>
      <w:lvlJc w:val="left"/>
      <w:pPr>
        <w:ind w:left="1440" w:hanging="720"/>
      </w:pPr>
      <w:rPr>
        <w:rFonts w:cs="Times New Roman" w:hint="default"/>
      </w:rPr>
    </w:lvl>
    <w:lvl w:ilvl="1" w:tplc="04070019" w:tentative="1">
      <w:start w:val="1"/>
      <w:numFmt w:val="lowerLetter"/>
      <w:lvlText w:val="%2."/>
      <w:lvlJc w:val="left"/>
      <w:pPr>
        <w:ind w:left="1800" w:hanging="360"/>
      </w:pPr>
      <w:rPr>
        <w:rFonts w:cs="Times New Roman"/>
      </w:rPr>
    </w:lvl>
    <w:lvl w:ilvl="2" w:tplc="0407001B" w:tentative="1">
      <w:start w:val="1"/>
      <w:numFmt w:val="lowerRoman"/>
      <w:lvlText w:val="%3."/>
      <w:lvlJc w:val="right"/>
      <w:pPr>
        <w:ind w:left="2520" w:hanging="180"/>
      </w:pPr>
      <w:rPr>
        <w:rFonts w:cs="Times New Roman"/>
      </w:rPr>
    </w:lvl>
    <w:lvl w:ilvl="3" w:tplc="0407000F" w:tentative="1">
      <w:start w:val="1"/>
      <w:numFmt w:val="decimal"/>
      <w:lvlText w:val="%4."/>
      <w:lvlJc w:val="left"/>
      <w:pPr>
        <w:ind w:left="3240" w:hanging="360"/>
      </w:pPr>
      <w:rPr>
        <w:rFonts w:cs="Times New Roman"/>
      </w:rPr>
    </w:lvl>
    <w:lvl w:ilvl="4" w:tplc="04070019" w:tentative="1">
      <w:start w:val="1"/>
      <w:numFmt w:val="lowerLetter"/>
      <w:lvlText w:val="%5."/>
      <w:lvlJc w:val="left"/>
      <w:pPr>
        <w:ind w:left="3960" w:hanging="360"/>
      </w:pPr>
      <w:rPr>
        <w:rFonts w:cs="Times New Roman"/>
      </w:rPr>
    </w:lvl>
    <w:lvl w:ilvl="5" w:tplc="0407001B" w:tentative="1">
      <w:start w:val="1"/>
      <w:numFmt w:val="lowerRoman"/>
      <w:lvlText w:val="%6."/>
      <w:lvlJc w:val="right"/>
      <w:pPr>
        <w:ind w:left="4680" w:hanging="180"/>
      </w:pPr>
      <w:rPr>
        <w:rFonts w:cs="Times New Roman"/>
      </w:rPr>
    </w:lvl>
    <w:lvl w:ilvl="6" w:tplc="0407000F" w:tentative="1">
      <w:start w:val="1"/>
      <w:numFmt w:val="decimal"/>
      <w:lvlText w:val="%7."/>
      <w:lvlJc w:val="left"/>
      <w:pPr>
        <w:ind w:left="5400" w:hanging="360"/>
      </w:pPr>
      <w:rPr>
        <w:rFonts w:cs="Times New Roman"/>
      </w:rPr>
    </w:lvl>
    <w:lvl w:ilvl="7" w:tplc="04070019" w:tentative="1">
      <w:start w:val="1"/>
      <w:numFmt w:val="lowerLetter"/>
      <w:lvlText w:val="%8."/>
      <w:lvlJc w:val="left"/>
      <w:pPr>
        <w:ind w:left="6120" w:hanging="360"/>
      </w:pPr>
      <w:rPr>
        <w:rFonts w:cs="Times New Roman"/>
      </w:rPr>
    </w:lvl>
    <w:lvl w:ilvl="8" w:tplc="0407001B" w:tentative="1">
      <w:start w:val="1"/>
      <w:numFmt w:val="lowerRoman"/>
      <w:lvlText w:val="%9."/>
      <w:lvlJc w:val="right"/>
      <w:pPr>
        <w:ind w:left="6840" w:hanging="180"/>
      </w:pPr>
      <w:rPr>
        <w:rFonts w:cs="Times New Roman"/>
      </w:rPr>
    </w:lvl>
  </w:abstractNum>
  <w:abstractNum w:abstractNumId="2">
    <w:nsid w:val="0C4861CA"/>
    <w:multiLevelType w:val="multilevel"/>
    <w:tmpl w:val="B5A2A38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1BBB1D18"/>
    <w:multiLevelType w:val="hybridMultilevel"/>
    <w:tmpl w:val="C764DCF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nsid w:val="1BC46653"/>
    <w:multiLevelType w:val="hybridMultilevel"/>
    <w:tmpl w:val="78EEE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22363A1E"/>
    <w:multiLevelType w:val="hybridMultilevel"/>
    <w:tmpl w:val="6610DD7A"/>
    <w:lvl w:ilvl="0" w:tplc="DA5A40D4">
      <w:start w:val="1"/>
      <w:numFmt w:val="decimal"/>
      <w:lvlText w:val="%1."/>
      <w:lvlJc w:val="left"/>
      <w:pPr>
        <w:ind w:left="435" w:hanging="360"/>
      </w:pPr>
      <w:rPr>
        <w:rFonts w:hint="default"/>
        <w:b/>
      </w:rPr>
    </w:lvl>
    <w:lvl w:ilvl="1" w:tplc="04070019" w:tentative="1">
      <w:start w:val="1"/>
      <w:numFmt w:val="lowerLetter"/>
      <w:lvlText w:val="%2."/>
      <w:lvlJc w:val="left"/>
      <w:pPr>
        <w:ind w:left="1155" w:hanging="360"/>
      </w:pPr>
    </w:lvl>
    <w:lvl w:ilvl="2" w:tplc="0407001B" w:tentative="1">
      <w:start w:val="1"/>
      <w:numFmt w:val="lowerRoman"/>
      <w:lvlText w:val="%3."/>
      <w:lvlJc w:val="right"/>
      <w:pPr>
        <w:ind w:left="1875" w:hanging="180"/>
      </w:pPr>
    </w:lvl>
    <w:lvl w:ilvl="3" w:tplc="0407000F" w:tentative="1">
      <w:start w:val="1"/>
      <w:numFmt w:val="decimal"/>
      <w:lvlText w:val="%4."/>
      <w:lvlJc w:val="left"/>
      <w:pPr>
        <w:ind w:left="2595" w:hanging="360"/>
      </w:pPr>
    </w:lvl>
    <w:lvl w:ilvl="4" w:tplc="04070019" w:tentative="1">
      <w:start w:val="1"/>
      <w:numFmt w:val="lowerLetter"/>
      <w:lvlText w:val="%5."/>
      <w:lvlJc w:val="left"/>
      <w:pPr>
        <w:ind w:left="3315" w:hanging="360"/>
      </w:pPr>
    </w:lvl>
    <w:lvl w:ilvl="5" w:tplc="0407001B" w:tentative="1">
      <w:start w:val="1"/>
      <w:numFmt w:val="lowerRoman"/>
      <w:lvlText w:val="%6."/>
      <w:lvlJc w:val="right"/>
      <w:pPr>
        <w:ind w:left="4035" w:hanging="180"/>
      </w:pPr>
    </w:lvl>
    <w:lvl w:ilvl="6" w:tplc="0407000F" w:tentative="1">
      <w:start w:val="1"/>
      <w:numFmt w:val="decimal"/>
      <w:lvlText w:val="%7."/>
      <w:lvlJc w:val="left"/>
      <w:pPr>
        <w:ind w:left="4755" w:hanging="360"/>
      </w:pPr>
    </w:lvl>
    <w:lvl w:ilvl="7" w:tplc="04070019" w:tentative="1">
      <w:start w:val="1"/>
      <w:numFmt w:val="lowerLetter"/>
      <w:lvlText w:val="%8."/>
      <w:lvlJc w:val="left"/>
      <w:pPr>
        <w:ind w:left="5475" w:hanging="360"/>
      </w:pPr>
    </w:lvl>
    <w:lvl w:ilvl="8" w:tplc="0407001B" w:tentative="1">
      <w:start w:val="1"/>
      <w:numFmt w:val="lowerRoman"/>
      <w:lvlText w:val="%9."/>
      <w:lvlJc w:val="right"/>
      <w:pPr>
        <w:ind w:left="6195" w:hanging="180"/>
      </w:pPr>
    </w:lvl>
  </w:abstractNum>
  <w:abstractNum w:abstractNumId="6">
    <w:nsid w:val="270409D0"/>
    <w:multiLevelType w:val="multilevel"/>
    <w:tmpl w:val="4A120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640195"/>
    <w:multiLevelType w:val="multilevel"/>
    <w:tmpl w:val="C94C19B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8">
    <w:nsid w:val="3E4B0D0B"/>
    <w:multiLevelType w:val="hybridMultilevel"/>
    <w:tmpl w:val="00BEBFCC"/>
    <w:lvl w:ilvl="0" w:tplc="0409001B">
      <w:start w:val="1"/>
      <w:numFmt w:val="lowerRoman"/>
      <w:lvlText w:val="%1."/>
      <w:lvlJc w:val="righ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9">
    <w:nsid w:val="456735B4"/>
    <w:multiLevelType w:val="multilevel"/>
    <w:tmpl w:val="0D864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E02786"/>
    <w:multiLevelType w:val="hybridMultilevel"/>
    <w:tmpl w:val="DE3EAE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4CC741C7"/>
    <w:multiLevelType w:val="hybridMultilevel"/>
    <w:tmpl w:val="85941D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C67D9B"/>
    <w:multiLevelType w:val="hybridMultilevel"/>
    <w:tmpl w:val="EA16D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5B5F2059"/>
    <w:multiLevelType w:val="hybridMultilevel"/>
    <w:tmpl w:val="FFD42100"/>
    <w:lvl w:ilvl="0" w:tplc="FC6C43BC">
      <w:start w:val="1"/>
      <w:numFmt w:val="lowerLetter"/>
      <w:lvlText w:val="%1)"/>
      <w:lvlJc w:val="left"/>
      <w:pPr>
        <w:ind w:left="720" w:hanging="360"/>
      </w:pPr>
      <w:rPr>
        <w:rFonts w:cs="Times New Roman" w:hint="default"/>
        <w:b/>
        <w:sz w:val="22"/>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15">
    <w:nsid w:val="5CA43A55"/>
    <w:multiLevelType w:val="hybridMultilevel"/>
    <w:tmpl w:val="27648C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DA679F6"/>
    <w:multiLevelType w:val="multilevel"/>
    <w:tmpl w:val="29A2A59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nsid w:val="65647DA5"/>
    <w:multiLevelType w:val="hybridMultilevel"/>
    <w:tmpl w:val="F8C66DC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nsid w:val="672F4B4C"/>
    <w:multiLevelType w:val="hybridMultilevel"/>
    <w:tmpl w:val="E618AC3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B2E234F"/>
    <w:multiLevelType w:val="multilevel"/>
    <w:tmpl w:val="AFF0314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0">
    <w:nsid w:val="6FED2FDB"/>
    <w:multiLevelType w:val="multilevel"/>
    <w:tmpl w:val="6240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9686228"/>
    <w:multiLevelType w:val="multilevel"/>
    <w:tmpl w:val="B6E4C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D9A4E3E"/>
    <w:multiLevelType w:val="multilevel"/>
    <w:tmpl w:val="AEB0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22"/>
  </w:num>
  <w:num w:numId="3">
    <w:abstractNumId w:val="16"/>
  </w:num>
  <w:num w:numId="4">
    <w:abstractNumId w:val="9"/>
  </w:num>
  <w:num w:numId="5">
    <w:abstractNumId w:val="15"/>
  </w:num>
  <w:num w:numId="6">
    <w:abstractNumId w:val="18"/>
  </w:num>
  <w:num w:numId="7">
    <w:abstractNumId w:val="19"/>
  </w:num>
  <w:num w:numId="8">
    <w:abstractNumId w:val="21"/>
  </w:num>
  <w:num w:numId="9">
    <w:abstractNumId w:val="8"/>
  </w:num>
  <w:num w:numId="10">
    <w:abstractNumId w:val="0"/>
  </w:num>
  <w:num w:numId="11">
    <w:abstractNumId w:val="2"/>
  </w:num>
  <w:num w:numId="12">
    <w:abstractNumId w:val="6"/>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5"/>
  </w:num>
  <w:num w:numId="16">
    <w:abstractNumId w:val="10"/>
  </w:num>
  <w:num w:numId="17">
    <w:abstractNumId w:val="20"/>
  </w:num>
  <w:num w:numId="18">
    <w:abstractNumId w:val="4"/>
  </w:num>
  <w:num w:numId="19">
    <w:abstractNumId w:val="14"/>
  </w:num>
  <w:num w:numId="20">
    <w:abstractNumId w:val="1"/>
  </w:num>
  <w:num w:numId="21">
    <w:abstractNumId w:val="13"/>
  </w:num>
  <w:num w:numId="22">
    <w:abstractNumId w:val="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7065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FF4738"/>
    <w:rsid w:val="00034662"/>
    <w:rsid w:val="000E6276"/>
    <w:rsid w:val="00176E41"/>
    <w:rsid w:val="00246F14"/>
    <w:rsid w:val="002557CA"/>
    <w:rsid w:val="0031178A"/>
    <w:rsid w:val="003876AB"/>
    <w:rsid w:val="003C5E93"/>
    <w:rsid w:val="005153B9"/>
    <w:rsid w:val="0052153C"/>
    <w:rsid w:val="005A4F27"/>
    <w:rsid w:val="005E072B"/>
    <w:rsid w:val="00624591"/>
    <w:rsid w:val="00676F89"/>
    <w:rsid w:val="00696E58"/>
    <w:rsid w:val="006E310A"/>
    <w:rsid w:val="00772C68"/>
    <w:rsid w:val="007C6FAC"/>
    <w:rsid w:val="008B71DC"/>
    <w:rsid w:val="008C721C"/>
    <w:rsid w:val="008D4362"/>
    <w:rsid w:val="008E2B2A"/>
    <w:rsid w:val="00A31F7E"/>
    <w:rsid w:val="00A95930"/>
    <w:rsid w:val="00AC4587"/>
    <w:rsid w:val="00B36127"/>
    <w:rsid w:val="00B46965"/>
    <w:rsid w:val="00BD25CE"/>
    <w:rsid w:val="00C25276"/>
    <w:rsid w:val="00D054B8"/>
    <w:rsid w:val="00D4074D"/>
    <w:rsid w:val="00D51AEC"/>
    <w:rsid w:val="00DC7035"/>
    <w:rsid w:val="00E77049"/>
    <w:rsid w:val="00EF1390"/>
    <w:rsid w:val="00F34DE0"/>
    <w:rsid w:val="00F94AB3"/>
    <w:rsid w:val="00FA0F3E"/>
    <w:rsid w:val="00FB3FED"/>
    <w:rsid w:val="00FF47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065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rPr>
      <w:rFonts w:ascii="Calibri" w:eastAsia="Calibri" w:hAnsi="Calibri" w:cs="Times New Roman"/>
      <w:lang w:val="en-US"/>
    </w:rPr>
  </w:style>
  <w:style w:type="paragraph" w:customStyle="1" w:styleId="Default">
    <w:name w:val="Default"/>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s3">
    <w:name w:val="gmail-s3"/>
    <w:basedOn w:val="DefaultParagraphFont"/>
  </w:style>
  <w:style w:type="paragraph" w:customStyle="1" w:styleId="gmail-p2">
    <w:name w:val="gmail-p2"/>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4">
    <w:name w:val="gmail-p4"/>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mail-apple-converted-space">
    <w:name w:val="gmail-apple-converted-space"/>
    <w:basedOn w:val="DefaultParagraphFont"/>
  </w:style>
  <w:style w:type="paragraph" w:customStyle="1" w:styleId="gmail-p5">
    <w:name w:val="gmail-p5"/>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1">
    <w:name w:val="gmail-p1"/>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6">
    <w:name w:val="gmail-p6"/>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style>
  <w:style w:type="character" w:customStyle="1" w:styleId="gmail-s2">
    <w:name w:val="gmail-s2"/>
    <w:basedOn w:val="DefaultParagraphFont"/>
  </w:style>
  <w:style w:type="character" w:customStyle="1" w:styleId="gmail-s4">
    <w:name w:val="gmail-s4"/>
    <w:basedOn w:val="DefaultParagraphFont"/>
  </w:style>
  <w:style w:type="paragraph" w:customStyle="1" w:styleId="gmail-p7">
    <w:name w:val="gmail-p7"/>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8">
    <w:name w:val="gmail-p8"/>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10">
    <w:name w:val="gmail-p10"/>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11">
    <w:name w:val="gmail-p11"/>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12">
    <w:name w:val="gmail-p12"/>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gmail-p3">
    <w:name w:val="gmail-p3"/>
    <w:basedOn w:val="Normal"/>
    <w:rsid w:val="003876AB"/>
    <w:pPr>
      <w:spacing w:before="100" w:beforeAutospacing="1" w:after="100" w:afterAutospacing="1" w:line="240" w:lineRule="auto"/>
    </w:pPr>
    <w:rPr>
      <w:rFonts w:ascii="Times New Roman" w:hAnsi="Times New Roman" w:cs="Times New Roman"/>
      <w:sz w:val="24"/>
      <w:szCs w:val="24"/>
      <w:lang w:val="de-DE" w:eastAsia="de-DE"/>
    </w:rPr>
  </w:style>
  <w:style w:type="character" w:customStyle="1" w:styleId="gmail-s5">
    <w:name w:val="gmail-s5"/>
    <w:basedOn w:val="DefaultParagraphFont"/>
    <w:rsid w:val="00E77049"/>
  </w:style>
  <w:style w:type="character" w:customStyle="1" w:styleId="gmail-s6">
    <w:name w:val="gmail-s6"/>
    <w:basedOn w:val="DefaultParagraphFont"/>
    <w:rsid w:val="00E77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175421">
      <w:bodyDiv w:val="1"/>
      <w:marLeft w:val="0"/>
      <w:marRight w:val="0"/>
      <w:marTop w:val="0"/>
      <w:marBottom w:val="0"/>
      <w:divBdr>
        <w:top w:val="none" w:sz="0" w:space="0" w:color="auto"/>
        <w:left w:val="none" w:sz="0" w:space="0" w:color="auto"/>
        <w:bottom w:val="none" w:sz="0" w:space="0" w:color="auto"/>
        <w:right w:val="none" w:sz="0" w:space="0" w:color="auto"/>
      </w:divBdr>
    </w:div>
    <w:div w:id="363483131">
      <w:bodyDiv w:val="1"/>
      <w:marLeft w:val="0"/>
      <w:marRight w:val="0"/>
      <w:marTop w:val="0"/>
      <w:marBottom w:val="0"/>
      <w:divBdr>
        <w:top w:val="none" w:sz="0" w:space="0" w:color="auto"/>
        <w:left w:val="none" w:sz="0" w:space="0" w:color="auto"/>
        <w:bottom w:val="none" w:sz="0" w:space="0" w:color="auto"/>
        <w:right w:val="none" w:sz="0" w:space="0" w:color="auto"/>
      </w:divBdr>
    </w:div>
    <w:div w:id="544564038">
      <w:bodyDiv w:val="1"/>
      <w:marLeft w:val="0"/>
      <w:marRight w:val="0"/>
      <w:marTop w:val="0"/>
      <w:marBottom w:val="0"/>
      <w:divBdr>
        <w:top w:val="none" w:sz="0" w:space="0" w:color="auto"/>
        <w:left w:val="none" w:sz="0" w:space="0" w:color="auto"/>
        <w:bottom w:val="none" w:sz="0" w:space="0" w:color="auto"/>
        <w:right w:val="none" w:sz="0" w:space="0" w:color="auto"/>
      </w:divBdr>
    </w:div>
    <w:div w:id="909970312">
      <w:bodyDiv w:val="1"/>
      <w:marLeft w:val="0"/>
      <w:marRight w:val="0"/>
      <w:marTop w:val="0"/>
      <w:marBottom w:val="0"/>
      <w:divBdr>
        <w:top w:val="none" w:sz="0" w:space="0" w:color="auto"/>
        <w:left w:val="none" w:sz="0" w:space="0" w:color="auto"/>
        <w:bottom w:val="none" w:sz="0" w:space="0" w:color="auto"/>
        <w:right w:val="none" w:sz="0" w:space="0" w:color="auto"/>
      </w:divBdr>
    </w:div>
    <w:div w:id="919407218">
      <w:bodyDiv w:val="1"/>
      <w:marLeft w:val="0"/>
      <w:marRight w:val="0"/>
      <w:marTop w:val="0"/>
      <w:marBottom w:val="0"/>
      <w:divBdr>
        <w:top w:val="none" w:sz="0" w:space="0" w:color="auto"/>
        <w:left w:val="none" w:sz="0" w:space="0" w:color="auto"/>
        <w:bottom w:val="none" w:sz="0" w:space="0" w:color="auto"/>
        <w:right w:val="none" w:sz="0" w:space="0" w:color="auto"/>
      </w:divBdr>
    </w:div>
    <w:div w:id="1059789205">
      <w:bodyDiv w:val="1"/>
      <w:marLeft w:val="0"/>
      <w:marRight w:val="0"/>
      <w:marTop w:val="0"/>
      <w:marBottom w:val="0"/>
      <w:divBdr>
        <w:top w:val="none" w:sz="0" w:space="0" w:color="auto"/>
        <w:left w:val="none" w:sz="0" w:space="0" w:color="auto"/>
        <w:bottom w:val="none" w:sz="0" w:space="0" w:color="auto"/>
        <w:right w:val="none" w:sz="0" w:space="0" w:color="auto"/>
      </w:divBdr>
    </w:div>
    <w:div w:id="1281954480">
      <w:bodyDiv w:val="1"/>
      <w:marLeft w:val="0"/>
      <w:marRight w:val="0"/>
      <w:marTop w:val="0"/>
      <w:marBottom w:val="0"/>
      <w:divBdr>
        <w:top w:val="none" w:sz="0" w:space="0" w:color="auto"/>
        <w:left w:val="none" w:sz="0" w:space="0" w:color="auto"/>
        <w:bottom w:val="none" w:sz="0" w:space="0" w:color="auto"/>
        <w:right w:val="none" w:sz="0" w:space="0" w:color="auto"/>
      </w:divBdr>
    </w:div>
    <w:div w:id="1311406306">
      <w:bodyDiv w:val="1"/>
      <w:marLeft w:val="0"/>
      <w:marRight w:val="0"/>
      <w:marTop w:val="0"/>
      <w:marBottom w:val="0"/>
      <w:divBdr>
        <w:top w:val="none" w:sz="0" w:space="0" w:color="auto"/>
        <w:left w:val="none" w:sz="0" w:space="0" w:color="auto"/>
        <w:bottom w:val="none" w:sz="0" w:space="0" w:color="auto"/>
        <w:right w:val="none" w:sz="0" w:space="0" w:color="auto"/>
      </w:divBdr>
    </w:div>
    <w:div w:id="1348482396">
      <w:bodyDiv w:val="1"/>
      <w:marLeft w:val="0"/>
      <w:marRight w:val="0"/>
      <w:marTop w:val="0"/>
      <w:marBottom w:val="0"/>
      <w:divBdr>
        <w:top w:val="none" w:sz="0" w:space="0" w:color="auto"/>
        <w:left w:val="none" w:sz="0" w:space="0" w:color="auto"/>
        <w:bottom w:val="none" w:sz="0" w:space="0" w:color="auto"/>
        <w:right w:val="none" w:sz="0" w:space="0" w:color="auto"/>
      </w:divBdr>
    </w:div>
    <w:div w:id="17924371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8FCE3-8AE4-4222-9CFE-4E5E9FB03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1455</Words>
  <Characters>9171</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SIEMENS AG</Company>
  <LinksUpToDate>false</LinksUpToDate>
  <CharactersWithSpaces>10605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keywords>C_Unrestricted</cp:keywords>
  <cp:lastModifiedBy>Borisova, Zhivka</cp:lastModifiedBy>
  <cp:revision>48</cp:revision>
  <dcterms:created xsi:type="dcterms:W3CDTF">2018-05-09T22:11:00Z</dcterms:created>
  <dcterms:modified xsi:type="dcterms:W3CDTF">2019-02-15T10:51:00Z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Confidentiality">
    <vt:lpwstr>Unrestricted</vt:lpwstr>
  </property>
  <property fmtid="{D5CDD505-2E9C-101B-9397-08002B2CF9AE}" pid="4" name="_NewReviewCycle">
    <vt:lpwstr/>
  </property>
</Properties>
</file>