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205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9FC">
            <w:pPr>
              <w:pStyle w:val="Default"/>
              <w:rPr>
                <w:rFonts w:asciiTheme="minorHAnsi" w:hAnsiTheme="minorHAnsi"/>
              </w:rPr>
            </w:pPr>
            <w:r>
              <w:rPr>
                <w:rFonts w:asciiTheme="minorHAnsi" w:hAnsiTheme="minorHAnsi"/>
              </w:rPr>
              <w:t>Adam Flacks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49FC">
            <w:pPr>
              <w:pStyle w:val="Default"/>
              <w:rPr>
                <w:rFonts w:asciiTheme="minorHAnsi" w:hAnsiTheme="minorHAnsi"/>
              </w:rPr>
            </w:pPr>
            <w:r>
              <w:rPr>
                <w:rFonts w:asciiTheme="minorHAnsi" w:hAnsiTheme="minorHAnsi"/>
              </w:rPr>
              <w:t>10038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49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43EC" w:rsidP="00E0073A">
            <w:r>
              <w:t>Assessment #</w:t>
            </w:r>
            <w:r w:rsidR="00E0073A">
              <w:t>6 – Gathering evidence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E0073A" w:rsidRPr="000F513B" w:rsidRDefault="00E0073A" w:rsidP="00E0073A">
            <w:pPr>
              <w:spacing w:line="360" w:lineRule="auto"/>
              <w:jc w:val="both"/>
              <w:rPr>
                <w:rFonts w:ascii="Arial" w:hAnsi="Arial" w:cs="Arial"/>
                <w:b/>
                <w:u w:val="single"/>
              </w:rPr>
            </w:pPr>
            <w:r w:rsidRPr="000F513B">
              <w:rPr>
                <w:rFonts w:ascii="Arial" w:hAnsi="Arial" w:cs="Arial"/>
                <w:b/>
                <w:u w:val="single"/>
              </w:rPr>
              <w:t>Question 1</w:t>
            </w:r>
          </w:p>
          <w:p w:rsidR="00E0073A" w:rsidRDefault="00E0073A" w:rsidP="00E0073A">
            <w:pPr>
              <w:pStyle w:val="ListParagraph"/>
              <w:numPr>
                <w:ilvl w:val="0"/>
                <w:numId w:val="26"/>
              </w:numPr>
              <w:spacing w:line="360" w:lineRule="auto"/>
              <w:jc w:val="both"/>
              <w:rPr>
                <w:rFonts w:ascii="Arial" w:hAnsi="Arial" w:cs="Arial"/>
                <w:b/>
              </w:rPr>
            </w:pPr>
            <w:r w:rsidRPr="000F513B">
              <w:rPr>
                <w:rFonts w:ascii="Arial" w:hAnsi="Arial" w:cs="Arial"/>
                <w:b/>
              </w:rPr>
              <w:t>What does the term ’best evidence’ mean?</w:t>
            </w:r>
          </w:p>
          <w:p w:rsidR="00E0073A" w:rsidRDefault="00E0073A" w:rsidP="00E0073A">
            <w:pPr>
              <w:pStyle w:val="NormalWeb"/>
              <w:shd w:val="clear" w:color="auto" w:fill="FFFFFF"/>
              <w:spacing w:before="0" w:beforeAutospacing="0" w:after="150" w:afterAutospacing="0" w:line="360" w:lineRule="auto"/>
              <w:jc w:val="both"/>
              <w:rPr>
                <w:rFonts w:ascii="Arial" w:hAnsi="Arial" w:cs="Arial"/>
                <w:sz w:val="22"/>
                <w:szCs w:val="22"/>
              </w:rPr>
            </w:pPr>
          </w:p>
          <w:p w:rsidR="00E0073A" w:rsidRPr="000F513B" w:rsidRDefault="00E0073A" w:rsidP="00E0073A">
            <w:pPr>
              <w:pStyle w:val="NormalWeb"/>
              <w:shd w:val="clear" w:color="auto" w:fill="FFFFFF"/>
              <w:spacing w:before="0" w:beforeAutospacing="0" w:after="150" w:afterAutospacing="0" w:line="360" w:lineRule="auto"/>
              <w:jc w:val="both"/>
              <w:rPr>
                <w:rFonts w:ascii="Arial" w:hAnsi="Arial" w:cs="Arial"/>
                <w:sz w:val="22"/>
                <w:szCs w:val="22"/>
              </w:rPr>
            </w:pPr>
            <w:r w:rsidRPr="000F513B">
              <w:rPr>
                <w:rFonts w:ascii="Arial" w:hAnsi="Arial" w:cs="Arial"/>
                <w:sz w:val="22"/>
                <w:szCs w:val="22"/>
              </w:rPr>
              <w:t>The best evidence rule in US law is the rule of evidence that requires the “best” evidence of something to be admitted at trial. In most cases, this means the original of a document or object (or a verifiable accurate copy) must be the one used in court unless it has been lost or destroyed.</w:t>
            </w:r>
            <w:r w:rsidRPr="000F513B">
              <w:rPr>
                <w:rStyle w:val="FootnoteReference"/>
                <w:rFonts w:ascii="Arial" w:hAnsi="Arial" w:cs="Arial"/>
                <w:sz w:val="22"/>
                <w:szCs w:val="22"/>
              </w:rPr>
              <w:footnoteReference w:id="1"/>
            </w:r>
          </w:p>
          <w:p w:rsidR="00E0073A" w:rsidRPr="000F513B" w:rsidRDefault="00E0073A" w:rsidP="00E0073A">
            <w:pPr>
              <w:pStyle w:val="statutory-body"/>
              <w:shd w:val="clear" w:color="auto" w:fill="FFFFFF"/>
              <w:spacing w:before="0" w:beforeAutospacing="0" w:after="150" w:afterAutospacing="0" w:line="360" w:lineRule="auto"/>
              <w:jc w:val="both"/>
              <w:rPr>
                <w:rFonts w:ascii="Arial" w:hAnsi="Arial" w:cs="Arial"/>
                <w:sz w:val="22"/>
                <w:szCs w:val="22"/>
              </w:rPr>
            </w:pPr>
            <w:r w:rsidRPr="000F513B">
              <w:rPr>
                <w:rFonts w:ascii="Arial" w:hAnsi="Arial" w:cs="Arial"/>
                <w:sz w:val="22"/>
                <w:szCs w:val="22"/>
              </w:rPr>
              <w:t>The actual rule is under Article X rules 1001 to 1008. Rule 1002 states that “</w:t>
            </w:r>
            <w:r w:rsidRPr="000F513B">
              <w:rPr>
                <w:rFonts w:ascii="Arial" w:hAnsi="Arial" w:cs="Arial"/>
                <w:i/>
                <w:sz w:val="22"/>
                <w:szCs w:val="22"/>
              </w:rPr>
              <w:t>An original writing, recording, or photograph is required in order to prove its content unless these rules or a federal statute provides otherwise</w:t>
            </w:r>
            <w:r w:rsidRPr="000F513B">
              <w:rPr>
                <w:rFonts w:ascii="Arial" w:hAnsi="Arial" w:cs="Arial"/>
                <w:sz w:val="22"/>
                <w:szCs w:val="22"/>
              </w:rPr>
              <w:t>.” Rule 1003 states that “</w:t>
            </w:r>
            <w:r w:rsidRPr="000F513B">
              <w:rPr>
                <w:rFonts w:ascii="Arial" w:hAnsi="Arial" w:cs="Arial"/>
                <w:i/>
                <w:sz w:val="22"/>
                <w:szCs w:val="22"/>
              </w:rPr>
              <w:t>A duplicate is admissible to the same extent as the original unless a genuine question is raised about the original’s authenticity or the circumstances make it unfair to admit the duplicate.”</w:t>
            </w:r>
          </w:p>
          <w:p w:rsidR="00E0073A" w:rsidRPr="000F513B" w:rsidRDefault="00E0073A" w:rsidP="00E0073A">
            <w:pPr>
              <w:pStyle w:val="NormalWeb"/>
              <w:shd w:val="clear" w:color="auto" w:fill="FFFFFF"/>
              <w:spacing w:before="0" w:beforeAutospacing="0" w:after="150" w:afterAutospacing="0" w:line="360" w:lineRule="auto"/>
              <w:jc w:val="both"/>
              <w:rPr>
                <w:rFonts w:ascii="Arial" w:hAnsi="Arial" w:cs="Arial"/>
                <w:sz w:val="22"/>
                <w:szCs w:val="22"/>
              </w:rPr>
            </w:pPr>
            <w:r w:rsidRPr="000F513B">
              <w:rPr>
                <w:rFonts w:ascii="Arial" w:hAnsi="Arial" w:cs="Arial"/>
                <w:sz w:val="22"/>
                <w:szCs w:val="22"/>
              </w:rPr>
              <w:t>Cornell Law School explains best evidence as follows: “</w:t>
            </w:r>
            <w:r w:rsidRPr="000F513B">
              <w:rPr>
                <w:rFonts w:ascii="Arial" w:hAnsi="Arial" w:cs="Arial"/>
                <w:i/>
                <w:sz w:val="22"/>
                <w:szCs w:val="22"/>
              </w:rPr>
              <w:t xml:space="preserve">The best evidence rule applies when a party wants to admit as evidence the contents of a document at trial, but that the original document is not available. In this case, the party must provide an acceptable excuse for its absence. If the document itself is not available, and the court finds the excuse provided </w:t>
            </w:r>
            <w:r w:rsidRPr="000F513B">
              <w:rPr>
                <w:rFonts w:ascii="Arial" w:hAnsi="Arial" w:cs="Arial"/>
                <w:i/>
                <w:sz w:val="22"/>
                <w:szCs w:val="22"/>
              </w:rPr>
              <w:lastRenderedPageBreak/>
              <w:t>acceptable, then the party is allowed to use secondary evidence to prove the contents of the document and have it as admissible evidence. The best evidence rule only applies when a party seeks to prove the contents of the document sought to be admitted as evidence.”</w:t>
            </w:r>
          </w:p>
          <w:p w:rsidR="00E0073A" w:rsidRDefault="00E0073A" w:rsidP="00E0073A">
            <w:pPr>
              <w:shd w:val="clear" w:color="auto" w:fill="FFFFFF"/>
              <w:spacing w:line="360" w:lineRule="auto"/>
              <w:jc w:val="both"/>
              <w:rPr>
                <w:rFonts w:ascii="Arial" w:hAnsi="Arial" w:cs="Arial"/>
              </w:rPr>
            </w:pPr>
            <w:r w:rsidRPr="000F513B">
              <w:rPr>
                <w:rFonts w:ascii="Arial" w:hAnsi="Arial" w:cs="Arial"/>
              </w:rPr>
              <w:t xml:space="preserve">In English law the best evidence rule was once considered a fundamental principle of the law of evidence. In English law the best evidence rule was that a party must produce the best evidence that the nature of the case allowed and that any less good evidence was to be excluded. This rule is now obsolete in English law. </w:t>
            </w:r>
          </w:p>
          <w:p w:rsidR="00E0073A" w:rsidRPr="000F513B" w:rsidRDefault="00E0073A" w:rsidP="00E0073A">
            <w:pPr>
              <w:shd w:val="clear" w:color="auto" w:fill="FFFFFF"/>
              <w:spacing w:line="360" w:lineRule="auto"/>
              <w:jc w:val="both"/>
              <w:rPr>
                <w:rFonts w:ascii="Arial" w:hAnsi="Arial" w:cs="Arial"/>
              </w:rPr>
            </w:pPr>
          </w:p>
          <w:p w:rsidR="00E0073A" w:rsidRDefault="00E0073A" w:rsidP="00E0073A">
            <w:pPr>
              <w:shd w:val="clear" w:color="auto" w:fill="FFFFFF"/>
              <w:spacing w:line="360" w:lineRule="auto"/>
              <w:jc w:val="both"/>
              <w:rPr>
                <w:rFonts w:ascii="Arial" w:hAnsi="Arial" w:cs="Arial"/>
              </w:rPr>
            </w:pPr>
            <w:r w:rsidRPr="000F513B">
              <w:rPr>
                <w:rFonts w:ascii="Arial" w:hAnsi="Arial" w:cs="Arial"/>
              </w:rPr>
              <w:t>The Court of Appeal in </w:t>
            </w:r>
            <w:r w:rsidRPr="000F513B">
              <w:rPr>
                <w:rStyle w:val="Emphasis"/>
                <w:rFonts w:ascii="Arial" w:hAnsi="Arial" w:cs="Arial"/>
              </w:rPr>
              <w:t xml:space="preserve">Springsteen v Masquerade Music Ltd and others [2001] EWCA </w:t>
            </w:r>
            <w:proofErr w:type="spellStart"/>
            <w:r w:rsidRPr="000F513B">
              <w:rPr>
                <w:rStyle w:val="Emphasis"/>
                <w:rFonts w:ascii="Arial" w:hAnsi="Arial" w:cs="Arial"/>
              </w:rPr>
              <w:t>Civ</w:t>
            </w:r>
            <w:proofErr w:type="spellEnd"/>
            <w:r w:rsidRPr="000F513B">
              <w:rPr>
                <w:rStyle w:val="Emphasis"/>
                <w:rFonts w:ascii="Arial" w:hAnsi="Arial" w:cs="Arial"/>
              </w:rPr>
              <w:t xml:space="preserve"> 513</w:t>
            </w:r>
            <w:r w:rsidRPr="000F513B">
              <w:rPr>
                <w:rFonts w:ascii="Arial" w:hAnsi="Arial" w:cs="Arial"/>
                <w:i/>
              </w:rPr>
              <w:t> </w:t>
            </w:r>
            <w:r w:rsidRPr="000F513B">
              <w:rPr>
                <w:rFonts w:ascii="Arial" w:hAnsi="Arial" w:cs="Arial"/>
              </w:rPr>
              <w:t>stated that secondary evidence of the contents of a document is admissible and that the weight that should be attached to that evidence (if any) is a matter for the court to decide, in the light of all circumstances of the case. Clearly, although the rule is no longer applied, it remains the safest course to adduce the best evidence available.</w:t>
            </w:r>
          </w:p>
          <w:p w:rsidR="00E0073A" w:rsidRPr="000F513B" w:rsidRDefault="00E0073A" w:rsidP="00E0073A">
            <w:pPr>
              <w:shd w:val="clear" w:color="auto" w:fill="FFFFFF"/>
              <w:spacing w:line="360" w:lineRule="auto"/>
              <w:jc w:val="both"/>
              <w:rPr>
                <w:rFonts w:ascii="Arial" w:hAnsi="Arial" w:cs="Arial"/>
              </w:rPr>
            </w:pPr>
          </w:p>
          <w:p w:rsidR="00E0073A" w:rsidRDefault="00E0073A" w:rsidP="00E0073A">
            <w:pPr>
              <w:pStyle w:val="ListParagraph"/>
              <w:numPr>
                <w:ilvl w:val="0"/>
                <w:numId w:val="26"/>
              </w:numPr>
              <w:spacing w:line="360" w:lineRule="auto"/>
              <w:jc w:val="both"/>
              <w:rPr>
                <w:rFonts w:ascii="Arial" w:hAnsi="Arial" w:cs="Arial"/>
                <w:b/>
              </w:rPr>
            </w:pPr>
            <w:r w:rsidRPr="000F513B">
              <w:rPr>
                <w:rFonts w:ascii="Arial" w:hAnsi="Arial" w:cs="Arial"/>
                <w:b/>
              </w:rPr>
              <w:t>Why is it important to keep the collected evidence in a well-</w:t>
            </w:r>
            <w:proofErr w:type="spellStart"/>
            <w:r w:rsidRPr="000F513B">
              <w:rPr>
                <w:rFonts w:ascii="Arial" w:hAnsi="Arial" w:cs="Arial"/>
                <w:b/>
              </w:rPr>
              <w:t>organised</w:t>
            </w:r>
            <w:proofErr w:type="spellEnd"/>
            <w:r w:rsidRPr="000F513B">
              <w:rPr>
                <w:rFonts w:ascii="Arial" w:hAnsi="Arial" w:cs="Arial"/>
                <w:b/>
              </w:rPr>
              <w:t xml:space="preserve"> manner?</w:t>
            </w:r>
          </w:p>
          <w:p w:rsidR="00E0073A" w:rsidRPr="000F513B" w:rsidRDefault="00E0073A" w:rsidP="00E0073A">
            <w:pPr>
              <w:pStyle w:val="ListParagraph"/>
              <w:spacing w:line="360" w:lineRule="auto"/>
              <w:ind w:left="1080"/>
              <w:jc w:val="both"/>
              <w:rPr>
                <w:rFonts w:ascii="Arial" w:hAnsi="Arial" w:cs="Arial"/>
                <w:b/>
              </w:rPr>
            </w:pPr>
          </w:p>
          <w:p w:rsidR="00E0073A" w:rsidRDefault="00E0073A" w:rsidP="00E0073A">
            <w:pPr>
              <w:spacing w:line="360" w:lineRule="auto"/>
              <w:jc w:val="both"/>
              <w:rPr>
                <w:rFonts w:ascii="Arial" w:hAnsi="Arial" w:cs="Arial"/>
              </w:rPr>
            </w:pPr>
            <w:r w:rsidRPr="000F513B">
              <w:rPr>
                <w:rFonts w:ascii="Arial" w:hAnsi="Arial" w:cs="Arial"/>
              </w:rPr>
              <w:t xml:space="preserve">It is important to keep the collected evidence in a well </w:t>
            </w:r>
            <w:proofErr w:type="spellStart"/>
            <w:r w:rsidRPr="000F513B">
              <w:rPr>
                <w:rFonts w:ascii="Arial" w:hAnsi="Arial" w:cs="Arial"/>
              </w:rPr>
              <w:t>organised</w:t>
            </w:r>
            <w:proofErr w:type="spellEnd"/>
            <w:r w:rsidRPr="000F513B">
              <w:rPr>
                <w:rFonts w:ascii="Arial" w:hAnsi="Arial" w:cs="Arial"/>
              </w:rPr>
              <w:t xml:space="preserve"> manner to maintain its integrity. </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rPr>
            </w:pPr>
            <w:r w:rsidRPr="000F513B">
              <w:rPr>
                <w:rFonts w:ascii="Arial" w:hAnsi="Arial" w:cs="Arial"/>
              </w:rPr>
              <w:t xml:space="preserve">The learning materials sets out that evidence at the scene must be secured and packaged so that they cannot be tampered with. Those measures include bagging and logging computers, documents, or other evidence. If that seizure is pursuant to a court order, the investigator should make sure that such evidence falls within the scope of the order. In certain instances, securing documents may mean ‘locking down’ entire floors of buildings or certain offices. Access may be restricted to certain offices and to certain people. Additional security measures may be put in place. Whilst this is not strictly </w:t>
            </w:r>
            <w:proofErr w:type="spellStart"/>
            <w:r w:rsidRPr="000F513B">
              <w:rPr>
                <w:rFonts w:ascii="Arial" w:hAnsi="Arial" w:cs="Arial"/>
              </w:rPr>
              <w:t>organisation</w:t>
            </w:r>
            <w:proofErr w:type="spellEnd"/>
            <w:r w:rsidRPr="000F513B">
              <w:rPr>
                <w:rFonts w:ascii="Arial" w:hAnsi="Arial" w:cs="Arial"/>
              </w:rPr>
              <w:t xml:space="preserve"> of documents after collection, securing documents enables the documents to be </w:t>
            </w:r>
            <w:proofErr w:type="spellStart"/>
            <w:r w:rsidRPr="000F513B">
              <w:rPr>
                <w:rFonts w:ascii="Arial" w:hAnsi="Arial" w:cs="Arial"/>
              </w:rPr>
              <w:t>organised</w:t>
            </w:r>
            <w:proofErr w:type="spellEnd"/>
            <w:r w:rsidRPr="000F513B">
              <w:rPr>
                <w:rFonts w:ascii="Arial" w:hAnsi="Arial" w:cs="Arial"/>
              </w:rPr>
              <w:t>.</w:t>
            </w:r>
          </w:p>
          <w:p w:rsidR="00E0073A" w:rsidRPr="000F513B" w:rsidRDefault="00E0073A" w:rsidP="00E0073A">
            <w:pPr>
              <w:spacing w:line="360" w:lineRule="auto"/>
              <w:jc w:val="both"/>
              <w:rPr>
                <w:rFonts w:ascii="Arial" w:hAnsi="Arial" w:cs="Arial"/>
              </w:rPr>
            </w:pPr>
            <w:r w:rsidRPr="000F513B">
              <w:rPr>
                <w:rFonts w:ascii="Arial" w:hAnsi="Arial" w:cs="Arial"/>
              </w:rPr>
              <w:t xml:space="preserve"> </w:t>
            </w:r>
          </w:p>
          <w:p w:rsidR="00E0073A" w:rsidRDefault="00E0073A" w:rsidP="00E0073A">
            <w:pPr>
              <w:spacing w:line="360" w:lineRule="auto"/>
              <w:jc w:val="both"/>
              <w:rPr>
                <w:rFonts w:ascii="Arial" w:hAnsi="Arial" w:cs="Arial"/>
              </w:rPr>
            </w:pPr>
            <w:r w:rsidRPr="000F513B">
              <w:rPr>
                <w:rFonts w:ascii="Arial" w:hAnsi="Arial" w:cs="Arial"/>
              </w:rPr>
              <w:t xml:space="preserve">The most important reason why it is important to </w:t>
            </w:r>
            <w:proofErr w:type="spellStart"/>
            <w:r w:rsidRPr="000F513B">
              <w:rPr>
                <w:rFonts w:ascii="Arial" w:hAnsi="Arial" w:cs="Arial"/>
              </w:rPr>
              <w:t>organise</w:t>
            </w:r>
            <w:proofErr w:type="spellEnd"/>
            <w:r w:rsidRPr="000F513B">
              <w:rPr>
                <w:rFonts w:ascii="Arial" w:hAnsi="Arial" w:cs="Arial"/>
              </w:rPr>
              <w:t xml:space="preserve"> the documents and to maintain the integrity of the evidence is so that it can be admissible and/or given significant weight in court. That may mean that it can be established that the evidence has not been tampered with or perhaps that chain of custody and provenance can be established with confidence. Admissibility and weight in court can make the difference between a successful and unsuccessful criminal conviction or between a finding </w:t>
            </w:r>
            <w:proofErr w:type="gramStart"/>
            <w:r w:rsidRPr="000F513B">
              <w:rPr>
                <w:rFonts w:ascii="Arial" w:hAnsi="Arial" w:cs="Arial"/>
              </w:rPr>
              <w:t>or</w:t>
            </w:r>
            <w:proofErr w:type="gramEnd"/>
            <w:r w:rsidRPr="000F513B">
              <w:rPr>
                <w:rFonts w:ascii="Arial" w:hAnsi="Arial" w:cs="Arial"/>
              </w:rPr>
              <w:t xml:space="preserve"> non-finding of civil liability. The learning materials states that a </w:t>
            </w:r>
            <w:r w:rsidRPr="000F513B">
              <w:rPr>
                <w:rFonts w:ascii="Arial" w:hAnsi="Arial" w:cs="Arial"/>
                <w:i/>
              </w:rPr>
              <w:t xml:space="preserve">“minor alteration in the evidence may result in the court </w:t>
            </w:r>
            <w:r w:rsidRPr="000F513B">
              <w:rPr>
                <w:rFonts w:ascii="Arial" w:hAnsi="Arial" w:cs="Arial"/>
                <w:i/>
              </w:rPr>
              <w:lastRenderedPageBreak/>
              <w:t>refusing to admit it.”</w:t>
            </w:r>
            <w:r w:rsidRPr="000F513B">
              <w:rPr>
                <w:rStyle w:val="FootnoteReference"/>
                <w:rFonts w:ascii="Arial" w:hAnsi="Arial" w:cs="Arial"/>
                <w:i/>
              </w:rPr>
              <w:footnoteReference w:id="2"/>
            </w:r>
            <w:r w:rsidRPr="000F513B">
              <w:rPr>
                <w:rFonts w:ascii="Arial" w:hAnsi="Arial" w:cs="Arial"/>
                <w:i/>
              </w:rPr>
              <w:t xml:space="preserve">  </w:t>
            </w:r>
            <w:r w:rsidRPr="000F513B">
              <w:rPr>
                <w:rFonts w:ascii="Arial" w:hAnsi="Arial" w:cs="Arial"/>
              </w:rPr>
              <w:t>That may be the position in the US, but in the English courts it is more likely the court would attach little or no weight to that piece of evidence. The consequence of that is essentially that the court would be saying that the evidence has little or no probative value and will not be taken into account when the judge prepares their judgment.</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rPr>
            </w:pPr>
            <w:r w:rsidRPr="000F513B">
              <w:rPr>
                <w:rFonts w:ascii="Arial" w:hAnsi="Arial" w:cs="Arial"/>
              </w:rPr>
              <w:t xml:space="preserve">The student has encountered two examples where a failure to properly </w:t>
            </w:r>
            <w:proofErr w:type="spellStart"/>
            <w:r w:rsidRPr="000F513B">
              <w:rPr>
                <w:rFonts w:ascii="Arial" w:hAnsi="Arial" w:cs="Arial"/>
              </w:rPr>
              <w:t>organise</w:t>
            </w:r>
            <w:proofErr w:type="spellEnd"/>
            <w:r w:rsidRPr="000F513B">
              <w:rPr>
                <w:rFonts w:ascii="Arial" w:hAnsi="Arial" w:cs="Arial"/>
              </w:rPr>
              <w:t xml:space="preserve"> some documents in large scale financial investigations has led to issues during (a civil) trial. The context is that the investigation team secured millions of hard copy documents in an office building and from the home of a witness. Given the numbers of documents involved, the hard copy documents were logged at file – not document - level and descriptions were given to the general content of each hard copy file. Those documents were later scanned. For the vast majority of documents the evidence was well </w:t>
            </w:r>
            <w:proofErr w:type="spellStart"/>
            <w:r w:rsidRPr="000F513B">
              <w:rPr>
                <w:rFonts w:ascii="Arial" w:hAnsi="Arial" w:cs="Arial"/>
              </w:rPr>
              <w:t>organised</w:t>
            </w:r>
            <w:proofErr w:type="spellEnd"/>
            <w:r w:rsidRPr="000F513B">
              <w:rPr>
                <w:rFonts w:ascii="Arial" w:hAnsi="Arial" w:cs="Arial"/>
              </w:rPr>
              <w:t xml:space="preserve">. Each file had its own unique identifier and every removal of a file had to be logged. However, the documents from the witness’s home went through several hands before being logged, then several hands again before being scanned. </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rPr>
            </w:pPr>
            <w:r w:rsidRPr="000F513B">
              <w:rPr>
                <w:rFonts w:ascii="Arial" w:hAnsi="Arial" w:cs="Arial"/>
              </w:rPr>
              <w:t xml:space="preserve">When it came to trial, a small number of files (the provenance was the witness’s home) could not be found either in hard copy or in soft copy. The failure likely emanated from poor </w:t>
            </w:r>
            <w:proofErr w:type="spellStart"/>
            <w:r w:rsidRPr="000F513B">
              <w:rPr>
                <w:rFonts w:ascii="Arial" w:hAnsi="Arial" w:cs="Arial"/>
              </w:rPr>
              <w:t>organisation</w:t>
            </w:r>
            <w:proofErr w:type="spellEnd"/>
            <w:r w:rsidRPr="000F513B">
              <w:rPr>
                <w:rFonts w:ascii="Arial" w:hAnsi="Arial" w:cs="Arial"/>
              </w:rPr>
              <w:t xml:space="preserve"> of the documents that were collected, logged and scanned from the home of a witness. Therefore these documents were not available at trial. This demonstrates why it is important to keep the documents well </w:t>
            </w:r>
            <w:proofErr w:type="spellStart"/>
            <w:r w:rsidRPr="000F513B">
              <w:rPr>
                <w:rFonts w:ascii="Arial" w:hAnsi="Arial" w:cs="Arial"/>
              </w:rPr>
              <w:t>organised</w:t>
            </w:r>
            <w:proofErr w:type="spellEnd"/>
            <w:r w:rsidRPr="000F513B">
              <w:rPr>
                <w:rFonts w:ascii="Arial" w:hAnsi="Arial" w:cs="Arial"/>
              </w:rPr>
              <w:t xml:space="preserve"> once they have been collected. In short, if there is poor </w:t>
            </w:r>
            <w:proofErr w:type="spellStart"/>
            <w:r w:rsidRPr="000F513B">
              <w:rPr>
                <w:rFonts w:ascii="Arial" w:hAnsi="Arial" w:cs="Arial"/>
              </w:rPr>
              <w:t>organisation</w:t>
            </w:r>
            <w:proofErr w:type="spellEnd"/>
            <w:r w:rsidRPr="000F513B">
              <w:rPr>
                <w:rFonts w:ascii="Arial" w:hAnsi="Arial" w:cs="Arial"/>
              </w:rPr>
              <w:t xml:space="preserve"> there is a risk of the following:</w:t>
            </w:r>
          </w:p>
          <w:p w:rsidR="00E0073A" w:rsidRPr="000F513B" w:rsidRDefault="00E0073A" w:rsidP="00E0073A">
            <w:pPr>
              <w:spacing w:line="360" w:lineRule="auto"/>
              <w:jc w:val="both"/>
              <w:rPr>
                <w:rFonts w:ascii="Arial" w:hAnsi="Arial" w:cs="Arial"/>
              </w:rPr>
            </w:pPr>
          </w:p>
          <w:p w:rsidR="00E0073A" w:rsidRPr="000F513B" w:rsidRDefault="00E0073A" w:rsidP="00E0073A">
            <w:pPr>
              <w:pStyle w:val="ListParagraph"/>
              <w:numPr>
                <w:ilvl w:val="0"/>
                <w:numId w:val="35"/>
              </w:numPr>
              <w:spacing w:line="360" w:lineRule="auto"/>
              <w:jc w:val="both"/>
              <w:rPr>
                <w:rFonts w:ascii="Arial" w:hAnsi="Arial" w:cs="Arial"/>
              </w:rPr>
            </w:pPr>
            <w:r w:rsidRPr="000F513B">
              <w:rPr>
                <w:rFonts w:ascii="Arial" w:hAnsi="Arial" w:cs="Arial"/>
              </w:rPr>
              <w:t xml:space="preserve">Documents can go missing after they have been collected and logged. That may lead to speculation and inferences being drawn as to where they are. If the absence </w:t>
            </w:r>
            <w:proofErr w:type="spellStart"/>
            <w:r w:rsidRPr="000F513B">
              <w:rPr>
                <w:rFonts w:ascii="Arial" w:hAnsi="Arial" w:cs="Arial"/>
              </w:rPr>
              <w:t>favours</w:t>
            </w:r>
            <w:proofErr w:type="spellEnd"/>
            <w:r w:rsidRPr="000F513B">
              <w:rPr>
                <w:rFonts w:ascii="Arial" w:hAnsi="Arial" w:cs="Arial"/>
              </w:rPr>
              <w:t xml:space="preserve"> one side, the other may suggest that those documents have been deliberately suppressed. </w:t>
            </w:r>
          </w:p>
          <w:p w:rsidR="00E0073A" w:rsidRPr="000F513B" w:rsidRDefault="00E0073A" w:rsidP="00E0073A">
            <w:pPr>
              <w:pStyle w:val="ListParagraph"/>
              <w:spacing w:line="360" w:lineRule="auto"/>
              <w:jc w:val="both"/>
              <w:rPr>
                <w:rFonts w:ascii="Arial" w:hAnsi="Arial" w:cs="Arial"/>
              </w:rPr>
            </w:pPr>
          </w:p>
          <w:p w:rsidR="00E0073A" w:rsidRDefault="00E0073A" w:rsidP="00E0073A">
            <w:pPr>
              <w:pStyle w:val="ListParagraph"/>
              <w:numPr>
                <w:ilvl w:val="0"/>
                <w:numId w:val="35"/>
              </w:numPr>
              <w:spacing w:line="360" w:lineRule="auto"/>
              <w:jc w:val="both"/>
              <w:rPr>
                <w:rFonts w:ascii="Arial" w:hAnsi="Arial" w:cs="Arial"/>
              </w:rPr>
            </w:pPr>
            <w:r w:rsidRPr="000F513B">
              <w:rPr>
                <w:rFonts w:ascii="Arial" w:hAnsi="Arial" w:cs="Arial"/>
              </w:rPr>
              <w:t xml:space="preserve">Documents can be moved after collection so that they are located somewhere else. They cannot therefore be found (creating the appearance that the document has gone missing) or the true provenance of the document is incorrect. </w:t>
            </w:r>
          </w:p>
          <w:p w:rsidR="00E0073A" w:rsidRPr="00E0073A" w:rsidRDefault="00E0073A" w:rsidP="00E0073A">
            <w:pPr>
              <w:pStyle w:val="ListParagraph"/>
              <w:rPr>
                <w:rFonts w:ascii="Arial" w:hAnsi="Arial" w:cs="Arial"/>
              </w:rPr>
            </w:pPr>
          </w:p>
          <w:p w:rsidR="00E0073A" w:rsidRDefault="00E0073A" w:rsidP="00E0073A">
            <w:pPr>
              <w:spacing w:line="360" w:lineRule="auto"/>
              <w:jc w:val="both"/>
              <w:rPr>
                <w:rFonts w:ascii="Arial" w:hAnsi="Arial" w:cs="Arial"/>
              </w:rPr>
            </w:pPr>
            <w:bookmarkStart w:id="0" w:name="_GoBack"/>
            <w:bookmarkEnd w:id="0"/>
            <w:r w:rsidRPr="000F513B">
              <w:rPr>
                <w:rFonts w:ascii="Arial" w:hAnsi="Arial" w:cs="Arial"/>
              </w:rPr>
              <w:t>These issues may then lead to adverse inferences being drawn at trial against the party seeking to rely on the results of the investigation.</w:t>
            </w:r>
          </w:p>
          <w:p w:rsidR="00E0073A" w:rsidRPr="000F513B" w:rsidRDefault="00E0073A" w:rsidP="00E0073A">
            <w:pPr>
              <w:spacing w:line="360" w:lineRule="auto"/>
              <w:jc w:val="both"/>
              <w:rPr>
                <w:rFonts w:ascii="Arial" w:hAnsi="Arial" w:cs="Arial"/>
              </w:rPr>
            </w:pPr>
          </w:p>
          <w:p w:rsidR="00E0073A" w:rsidRDefault="00E0073A" w:rsidP="00E0073A">
            <w:pPr>
              <w:pStyle w:val="ListParagraph"/>
              <w:numPr>
                <w:ilvl w:val="0"/>
                <w:numId w:val="26"/>
              </w:numPr>
              <w:spacing w:line="360" w:lineRule="auto"/>
              <w:jc w:val="both"/>
              <w:rPr>
                <w:rFonts w:ascii="Arial" w:hAnsi="Arial" w:cs="Arial"/>
                <w:b/>
              </w:rPr>
            </w:pPr>
            <w:r w:rsidRPr="000F513B">
              <w:rPr>
                <w:rFonts w:ascii="Arial" w:hAnsi="Arial" w:cs="Arial"/>
                <w:b/>
              </w:rPr>
              <w:lastRenderedPageBreak/>
              <w:t xml:space="preserve">List the devices which could help when collecting evidence. </w:t>
            </w:r>
          </w:p>
          <w:p w:rsidR="00E0073A" w:rsidRPr="000F513B" w:rsidRDefault="00E0073A" w:rsidP="00E0073A">
            <w:pPr>
              <w:pStyle w:val="ListParagraph"/>
              <w:spacing w:line="360" w:lineRule="auto"/>
              <w:ind w:left="1080"/>
              <w:jc w:val="both"/>
              <w:rPr>
                <w:rFonts w:ascii="Arial" w:hAnsi="Arial" w:cs="Arial"/>
                <w:b/>
              </w:rPr>
            </w:pPr>
          </w:p>
          <w:p w:rsidR="00E0073A" w:rsidRDefault="00E0073A" w:rsidP="00E0073A">
            <w:pPr>
              <w:spacing w:line="360" w:lineRule="auto"/>
              <w:jc w:val="both"/>
              <w:rPr>
                <w:rFonts w:ascii="Arial" w:hAnsi="Arial" w:cs="Arial"/>
              </w:rPr>
            </w:pPr>
            <w:r w:rsidRPr="000F513B">
              <w:rPr>
                <w:rFonts w:ascii="Arial" w:hAnsi="Arial" w:cs="Arial"/>
              </w:rPr>
              <w:t xml:space="preserve">Given the nature of the learning materials, I interpret this question as meaning on which devices might relevant data be contained (e.g. a computer), rather than what might assist when collecting evidence (e.g. a metal detector). There is a list of those items on page 7 of the learning materials. I will not list them all but they include, servers, computers, copiers, scanners, storage media and telephones. </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i/>
              </w:rPr>
            </w:pPr>
            <w:r w:rsidRPr="000F513B">
              <w:rPr>
                <w:rFonts w:ascii="Arial" w:hAnsi="Arial" w:cs="Arial"/>
              </w:rPr>
              <w:t xml:space="preserve">One source that is increasingly used to store information – and therefore evidence is the Cloud. This gives unique problems to the investigator because the data may be located in many different servers in different data warehouses across many different jurisdictions. The operator cannot tell where the data is until they look. The volume of data stored in the cloud is increasing exponentially and </w:t>
            </w:r>
            <w:r w:rsidRPr="000F513B">
              <w:rPr>
                <w:rFonts w:ascii="Arial" w:hAnsi="Arial" w:cs="Arial"/>
                <w:i/>
              </w:rPr>
              <w:t>“is approaching the stage where it is very difficult for an investigator to conduct a full examination. Investigators need to know that when they seek and obtain cloud-based evidence they may require significant resources to support the receipt of large volumes of data and the associated applications required to review it.”</w:t>
            </w:r>
            <w:r w:rsidRPr="000F513B">
              <w:rPr>
                <w:rStyle w:val="FootnoteReference"/>
                <w:rFonts w:ascii="Arial" w:hAnsi="Arial" w:cs="Arial"/>
                <w:i/>
              </w:rPr>
              <w:footnoteReference w:id="3"/>
            </w:r>
          </w:p>
          <w:p w:rsidR="00E0073A" w:rsidRPr="000F513B" w:rsidRDefault="00E0073A" w:rsidP="00E0073A">
            <w:pPr>
              <w:spacing w:line="360" w:lineRule="auto"/>
              <w:jc w:val="both"/>
              <w:rPr>
                <w:rFonts w:ascii="Arial" w:hAnsi="Arial" w:cs="Arial"/>
                <w:i/>
              </w:rPr>
            </w:pPr>
          </w:p>
          <w:p w:rsidR="00E0073A" w:rsidRDefault="00E0073A" w:rsidP="00E0073A">
            <w:pPr>
              <w:shd w:val="clear" w:color="auto" w:fill="FFFFFF"/>
              <w:spacing w:line="360" w:lineRule="auto"/>
              <w:jc w:val="both"/>
              <w:rPr>
                <w:rFonts w:ascii="Arial" w:hAnsi="Arial" w:cs="Arial"/>
              </w:rPr>
            </w:pPr>
            <w:r w:rsidRPr="000F513B">
              <w:rPr>
                <w:rFonts w:ascii="Arial" w:hAnsi="Arial" w:cs="Arial"/>
              </w:rPr>
              <w:t xml:space="preserve">If I am incorrect in my interpretation, one device that often assists investigators in collecting and preserving evidence are search and seizure orders (or </w:t>
            </w:r>
            <w:proofErr w:type="spellStart"/>
            <w:r w:rsidRPr="000F513B">
              <w:rPr>
                <w:rFonts w:ascii="Arial" w:hAnsi="Arial" w:cs="Arial"/>
              </w:rPr>
              <w:t>anton</w:t>
            </w:r>
            <w:proofErr w:type="spellEnd"/>
            <w:r w:rsidRPr="000F513B">
              <w:rPr>
                <w:rFonts w:ascii="Arial" w:hAnsi="Arial" w:cs="Arial"/>
              </w:rPr>
              <w:t xml:space="preserve"> </w:t>
            </w:r>
            <w:proofErr w:type="spellStart"/>
            <w:r w:rsidRPr="000F513B">
              <w:rPr>
                <w:rFonts w:ascii="Arial" w:hAnsi="Arial" w:cs="Arial"/>
              </w:rPr>
              <w:t>piller</w:t>
            </w:r>
            <w:proofErr w:type="spellEnd"/>
            <w:r w:rsidRPr="000F513B">
              <w:rPr>
                <w:rFonts w:ascii="Arial" w:hAnsi="Arial" w:cs="Arial"/>
              </w:rPr>
              <w:t xml:space="preserve"> orders). This is a form of court order that requires a respondent to allow the applicant's solicitors to enter the respondent's premises and to search for and remove all items covered by the order. The applicant will usually make this application </w:t>
            </w:r>
            <w:r w:rsidRPr="000F513B">
              <w:rPr>
                <w:rFonts w:ascii="Arial" w:hAnsi="Arial" w:cs="Arial"/>
                <w:i/>
              </w:rPr>
              <w:t xml:space="preserve">ex parte </w:t>
            </w:r>
            <w:r w:rsidRPr="000F513B">
              <w:rPr>
                <w:rFonts w:ascii="Arial" w:hAnsi="Arial" w:cs="Arial"/>
              </w:rPr>
              <w:t>i.e. without informing the respondent, in order to avoid tipping off the respondent which may lead to the hiding or destruction of evidence. The purpose of a search order is usually to preserve evidence or property which is (or may be) the subject of an action, or as to which a question arises in an action. The power of the court to grant search orders is derived from section 7(1) of the Civil Procedure Act 1997.</w:t>
            </w:r>
          </w:p>
          <w:p w:rsidR="00E0073A" w:rsidRPr="000F513B" w:rsidRDefault="00E0073A" w:rsidP="00E0073A">
            <w:pPr>
              <w:shd w:val="clear" w:color="auto" w:fill="FFFFFF"/>
              <w:spacing w:line="360" w:lineRule="auto"/>
              <w:jc w:val="both"/>
              <w:rPr>
                <w:rFonts w:ascii="Arial" w:hAnsi="Arial" w:cs="Arial"/>
              </w:rPr>
            </w:pPr>
          </w:p>
          <w:p w:rsidR="00E0073A" w:rsidRDefault="00E0073A" w:rsidP="00E0073A">
            <w:pPr>
              <w:shd w:val="clear" w:color="auto" w:fill="FFFFFF"/>
              <w:spacing w:line="360" w:lineRule="auto"/>
              <w:jc w:val="both"/>
              <w:rPr>
                <w:rFonts w:ascii="Arial" w:hAnsi="Arial" w:cs="Arial"/>
              </w:rPr>
            </w:pPr>
            <w:r w:rsidRPr="000F513B">
              <w:rPr>
                <w:rFonts w:ascii="Arial" w:hAnsi="Arial" w:cs="Arial"/>
              </w:rPr>
              <w:t xml:space="preserve">The judge in </w:t>
            </w:r>
            <w:proofErr w:type="spellStart"/>
            <w:r w:rsidRPr="000F513B">
              <w:rPr>
                <w:rFonts w:ascii="Arial" w:hAnsi="Arial" w:cs="Arial"/>
                <w:i/>
              </w:rPr>
              <w:t>Indicii</w:t>
            </w:r>
            <w:proofErr w:type="spellEnd"/>
            <w:r w:rsidRPr="000F513B">
              <w:rPr>
                <w:rFonts w:ascii="Arial" w:hAnsi="Arial" w:cs="Arial"/>
                <w:i/>
              </w:rPr>
              <w:t xml:space="preserve"> </w:t>
            </w:r>
            <w:proofErr w:type="spellStart"/>
            <w:r w:rsidRPr="000F513B">
              <w:rPr>
                <w:rFonts w:ascii="Arial" w:hAnsi="Arial" w:cs="Arial"/>
                <w:i/>
              </w:rPr>
              <w:t>Salus</w:t>
            </w:r>
            <w:proofErr w:type="spellEnd"/>
            <w:r w:rsidRPr="000F513B">
              <w:rPr>
                <w:rFonts w:ascii="Arial" w:hAnsi="Arial" w:cs="Arial"/>
                <w:i/>
              </w:rPr>
              <w:t xml:space="preserve"> Ltd (in receivership) v </w:t>
            </w:r>
            <w:proofErr w:type="spellStart"/>
            <w:r w:rsidRPr="000F513B">
              <w:rPr>
                <w:rFonts w:ascii="Arial" w:hAnsi="Arial" w:cs="Arial"/>
                <w:i/>
              </w:rPr>
              <w:t>Chandrasekaran</w:t>
            </w:r>
            <w:proofErr w:type="spellEnd"/>
            <w:r w:rsidRPr="000F513B">
              <w:rPr>
                <w:rStyle w:val="FootnoteReference"/>
                <w:rFonts w:ascii="Arial" w:hAnsi="Arial" w:cs="Arial"/>
                <w:i/>
              </w:rPr>
              <w:footnoteReference w:id="4"/>
            </w:r>
            <w:r w:rsidRPr="000F513B">
              <w:rPr>
                <w:rFonts w:ascii="Arial" w:hAnsi="Arial" w:cs="Arial"/>
              </w:rPr>
              <w:t xml:space="preserve">, at para [85], identified the following grounds which need to be satisfied before a search order is made: (1) “extremely strong prima facie case” (2) “damage potential or actual must be very serious for the applicant” (3) “there must be clear evidence that the defendants had in their possession incriminating documents or thing” (4) “there is a real possibility that the defendants may destroy such material before an on notice application is made” (5) “the harm likely to be </w:t>
            </w:r>
            <w:r w:rsidRPr="000F513B">
              <w:rPr>
                <w:rFonts w:ascii="Arial" w:hAnsi="Arial" w:cs="Arial"/>
              </w:rPr>
              <w:lastRenderedPageBreak/>
              <w:t>caused by the execution of the search order on the respondent in his business affairs must not be out of proportion to the legitimate object of the order” (6) the applicant’s obligation to make full disclosure.</w:t>
            </w:r>
          </w:p>
          <w:p w:rsidR="00E0073A" w:rsidRPr="000F513B" w:rsidRDefault="00E0073A" w:rsidP="00E0073A">
            <w:pPr>
              <w:shd w:val="clear" w:color="auto" w:fill="FFFFFF"/>
              <w:spacing w:line="360" w:lineRule="auto"/>
              <w:jc w:val="both"/>
              <w:rPr>
                <w:rFonts w:ascii="Arial" w:hAnsi="Arial" w:cs="Arial"/>
              </w:rPr>
            </w:pPr>
          </w:p>
          <w:p w:rsidR="00E0073A" w:rsidRDefault="00E0073A" w:rsidP="00E0073A">
            <w:pPr>
              <w:pStyle w:val="ListParagraph"/>
              <w:numPr>
                <w:ilvl w:val="0"/>
                <w:numId w:val="26"/>
              </w:numPr>
              <w:shd w:val="clear" w:color="auto" w:fill="FFFFFF"/>
              <w:spacing w:line="360" w:lineRule="auto"/>
              <w:jc w:val="both"/>
              <w:rPr>
                <w:rFonts w:ascii="Arial" w:hAnsi="Arial" w:cs="Arial"/>
                <w:b/>
              </w:rPr>
            </w:pPr>
            <w:r w:rsidRPr="000F513B">
              <w:rPr>
                <w:rFonts w:ascii="Arial" w:hAnsi="Arial" w:cs="Arial"/>
                <w:b/>
              </w:rPr>
              <w:t>Which points should be considered when planning for the evidence gathering process?</w:t>
            </w:r>
          </w:p>
          <w:p w:rsidR="00E0073A" w:rsidRPr="000F513B" w:rsidRDefault="00E0073A" w:rsidP="00E0073A">
            <w:pPr>
              <w:pStyle w:val="ListParagraph"/>
              <w:shd w:val="clear" w:color="auto" w:fill="FFFFFF"/>
              <w:spacing w:line="360" w:lineRule="auto"/>
              <w:ind w:left="1080"/>
              <w:jc w:val="both"/>
              <w:rPr>
                <w:rFonts w:ascii="Arial" w:hAnsi="Arial" w:cs="Arial"/>
                <w:b/>
              </w:rPr>
            </w:pPr>
          </w:p>
          <w:p w:rsidR="00E0073A" w:rsidRPr="000F513B" w:rsidRDefault="00E0073A" w:rsidP="00E0073A">
            <w:pPr>
              <w:shd w:val="clear" w:color="auto" w:fill="FFFFFF"/>
              <w:spacing w:line="360" w:lineRule="auto"/>
              <w:jc w:val="both"/>
              <w:rPr>
                <w:rFonts w:ascii="Arial" w:hAnsi="Arial" w:cs="Arial"/>
              </w:rPr>
            </w:pPr>
            <w:r w:rsidRPr="000F513B">
              <w:rPr>
                <w:rFonts w:ascii="Arial" w:hAnsi="Arial" w:cs="Arial"/>
              </w:rPr>
              <w:t>Again, there is a list of prior planning considerations at page 6 of the learning materials. I will not repeat all of them but they include:</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Reviewing the client’s policies on record retention and ensuring compliance</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Visiting storage locations for paper records off and on site</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Checking whether there are any files at employees’ homes or in personal computers</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 xml:space="preserve">Checking the medium of storage for </w:t>
            </w:r>
            <w:proofErr w:type="spellStart"/>
            <w:r w:rsidRPr="000F513B">
              <w:rPr>
                <w:rFonts w:ascii="Arial" w:hAnsi="Arial" w:cs="Arial"/>
              </w:rPr>
              <w:t>computerised</w:t>
            </w:r>
            <w:proofErr w:type="spellEnd"/>
            <w:r w:rsidRPr="000F513B">
              <w:rPr>
                <w:rFonts w:ascii="Arial" w:hAnsi="Arial" w:cs="Arial"/>
              </w:rPr>
              <w:t xml:space="preserve"> records off and on site</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Checking whether any records are retained by former employees or by outsourced companies</w:t>
            </w:r>
          </w:p>
          <w:p w:rsidR="00E0073A" w:rsidRPr="000F513B"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Reviewing a company’s back up procedures</w:t>
            </w:r>
          </w:p>
          <w:p w:rsidR="00E0073A" w:rsidRDefault="00E0073A" w:rsidP="00E0073A">
            <w:pPr>
              <w:pStyle w:val="ListParagraph"/>
              <w:numPr>
                <w:ilvl w:val="0"/>
                <w:numId w:val="36"/>
              </w:numPr>
              <w:shd w:val="clear" w:color="auto" w:fill="FFFFFF"/>
              <w:spacing w:line="360" w:lineRule="auto"/>
              <w:jc w:val="both"/>
              <w:rPr>
                <w:rFonts w:ascii="Arial" w:hAnsi="Arial" w:cs="Arial"/>
              </w:rPr>
            </w:pPr>
            <w:r w:rsidRPr="000F513B">
              <w:rPr>
                <w:rFonts w:ascii="Arial" w:hAnsi="Arial" w:cs="Arial"/>
              </w:rPr>
              <w:t xml:space="preserve">Creating a written plan for the collection of documents in order to give the investigation a clear direction and focus. </w:t>
            </w:r>
          </w:p>
          <w:p w:rsidR="00E0073A" w:rsidRPr="000F513B" w:rsidRDefault="00E0073A" w:rsidP="00E0073A">
            <w:pPr>
              <w:pStyle w:val="ListParagraph"/>
              <w:shd w:val="clear" w:color="auto" w:fill="FFFFFF"/>
              <w:spacing w:line="360" w:lineRule="auto"/>
              <w:jc w:val="both"/>
              <w:rPr>
                <w:rFonts w:ascii="Arial" w:hAnsi="Arial" w:cs="Arial"/>
              </w:rPr>
            </w:pPr>
          </w:p>
          <w:p w:rsidR="00E0073A" w:rsidRDefault="00E0073A" w:rsidP="00E0073A">
            <w:pPr>
              <w:shd w:val="clear" w:color="auto" w:fill="FFFFFF"/>
              <w:spacing w:line="360" w:lineRule="auto"/>
              <w:jc w:val="both"/>
              <w:rPr>
                <w:rFonts w:ascii="Arial" w:hAnsi="Arial" w:cs="Arial"/>
              </w:rPr>
            </w:pPr>
            <w:r w:rsidRPr="000F513B">
              <w:rPr>
                <w:rFonts w:ascii="Arial" w:hAnsi="Arial" w:cs="Arial"/>
              </w:rPr>
              <w:t>There are however, additional issues that might need to be considered at the prior planning stage:</w:t>
            </w:r>
          </w:p>
          <w:p w:rsidR="00E0073A" w:rsidRPr="000F513B" w:rsidRDefault="00E0073A" w:rsidP="00E0073A">
            <w:pPr>
              <w:shd w:val="clear" w:color="auto" w:fill="FFFFFF"/>
              <w:spacing w:line="360" w:lineRule="auto"/>
              <w:jc w:val="both"/>
              <w:rPr>
                <w:rFonts w:ascii="Arial" w:hAnsi="Arial" w:cs="Arial"/>
              </w:rPr>
            </w:pPr>
          </w:p>
          <w:p w:rsidR="00E0073A" w:rsidRPr="000F513B" w:rsidRDefault="00E0073A" w:rsidP="00E0073A">
            <w:pPr>
              <w:pStyle w:val="ListParagraph"/>
              <w:numPr>
                <w:ilvl w:val="0"/>
                <w:numId w:val="37"/>
              </w:numPr>
              <w:autoSpaceDE w:val="0"/>
              <w:autoSpaceDN w:val="0"/>
              <w:adjustRightInd w:val="0"/>
              <w:spacing w:line="360" w:lineRule="auto"/>
              <w:jc w:val="both"/>
              <w:rPr>
                <w:rFonts w:ascii="Arial" w:hAnsi="Arial" w:cs="Arial"/>
              </w:rPr>
            </w:pPr>
            <w:r w:rsidRPr="000F513B">
              <w:rPr>
                <w:rFonts w:ascii="Arial" w:hAnsi="Arial" w:cs="Arial"/>
              </w:rPr>
              <w:t>Incident scene and security – Is there a risk that evidence might be tampered with by people who have access to it. There may be an immediate need to lock down or seal off areas or rooms, or computers. “</w:t>
            </w:r>
            <w:r w:rsidRPr="000F513B">
              <w:rPr>
                <w:rFonts w:ascii="Arial" w:hAnsi="Arial" w:cs="Arial"/>
                <w:i/>
              </w:rPr>
              <w:t>The type of investigation can mandate very stringent procedures to control and protect incident or crime scenes. As the incident scene is being secured the investigator should be creating a sketch of the incident scene</w:t>
            </w:r>
            <w:r w:rsidRPr="000F513B">
              <w:rPr>
                <w:rFonts w:ascii="Arial" w:hAnsi="Arial" w:cs="Arial"/>
              </w:rPr>
              <w:t>.”</w:t>
            </w:r>
            <w:r w:rsidRPr="000F513B">
              <w:rPr>
                <w:rStyle w:val="FootnoteReference"/>
                <w:rFonts w:ascii="Arial" w:hAnsi="Arial" w:cs="Arial"/>
              </w:rPr>
              <w:footnoteReference w:id="5"/>
            </w:r>
          </w:p>
          <w:p w:rsidR="00E0073A" w:rsidRPr="000F513B" w:rsidRDefault="00E0073A" w:rsidP="00E0073A">
            <w:pPr>
              <w:pStyle w:val="ListParagraph"/>
              <w:autoSpaceDE w:val="0"/>
              <w:autoSpaceDN w:val="0"/>
              <w:adjustRightInd w:val="0"/>
              <w:spacing w:line="360" w:lineRule="auto"/>
              <w:jc w:val="both"/>
              <w:rPr>
                <w:rFonts w:ascii="Arial" w:hAnsi="Arial" w:cs="Arial"/>
              </w:rPr>
            </w:pPr>
          </w:p>
          <w:p w:rsidR="00E0073A" w:rsidRPr="000F513B" w:rsidRDefault="00E0073A" w:rsidP="00E0073A">
            <w:pPr>
              <w:pStyle w:val="ListParagraph"/>
              <w:numPr>
                <w:ilvl w:val="0"/>
                <w:numId w:val="37"/>
              </w:numPr>
              <w:autoSpaceDE w:val="0"/>
              <w:autoSpaceDN w:val="0"/>
              <w:adjustRightInd w:val="0"/>
              <w:spacing w:line="360" w:lineRule="auto"/>
              <w:jc w:val="both"/>
              <w:rPr>
                <w:rFonts w:ascii="Arial" w:hAnsi="Arial" w:cs="Arial"/>
              </w:rPr>
            </w:pPr>
            <w:r w:rsidRPr="000F513B">
              <w:rPr>
                <w:rFonts w:ascii="Arial" w:hAnsi="Arial" w:cs="Arial"/>
              </w:rPr>
              <w:t xml:space="preserve">Is there a risk that in collecting certain evidence someone may be ‘tipped off’ with the result that evidence may be destroyed? It may be that the nature of the investigation is such that certain people will unavoidably find out about the investigation. However, if there is a risk that any evidence off site or on personal computers may be tampered with or destroyed, it is important to plan for this </w:t>
            </w:r>
            <w:r w:rsidRPr="000F513B">
              <w:rPr>
                <w:rFonts w:ascii="Arial" w:hAnsi="Arial" w:cs="Arial"/>
              </w:rPr>
              <w:lastRenderedPageBreak/>
              <w:t xml:space="preserve">immediately. Such planning may include either taking steps to avoid notifying the suspect of the investigation or alternatively applying </w:t>
            </w:r>
            <w:r w:rsidRPr="000F513B">
              <w:rPr>
                <w:rFonts w:ascii="Arial" w:hAnsi="Arial" w:cs="Arial"/>
                <w:i/>
              </w:rPr>
              <w:t xml:space="preserve">ex parte </w:t>
            </w:r>
            <w:r w:rsidRPr="000F513B">
              <w:rPr>
                <w:rFonts w:ascii="Arial" w:hAnsi="Arial" w:cs="Arial"/>
              </w:rPr>
              <w:t xml:space="preserve">for a search and seizure order. </w:t>
            </w:r>
          </w:p>
          <w:p w:rsidR="00E0073A" w:rsidRPr="000F513B" w:rsidRDefault="00E0073A" w:rsidP="00E0073A">
            <w:pPr>
              <w:spacing w:line="360" w:lineRule="auto"/>
              <w:jc w:val="both"/>
              <w:rPr>
                <w:rFonts w:ascii="Arial" w:hAnsi="Arial" w:cs="Arial"/>
              </w:rPr>
            </w:pPr>
            <w:r w:rsidRPr="000F513B">
              <w:rPr>
                <w:rFonts w:ascii="Arial" w:hAnsi="Arial" w:cs="Arial"/>
              </w:rPr>
              <w:t xml:space="preserve"> </w:t>
            </w:r>
          </w:p>
          <w:p w:rsidR="00E0073A" w:rsidRDefault="00E0073A" w:rsidP="00E0073A">
            <w:pPr>
              <w:pStyle w:val="ListParagraph"/>
              <w:numPr>
                <w:ilvl w:val="0"/>
                <w:numId w:val="26"/>
              </w:numPr>
              <w:spacing w:line="360" w:lineRule="auto"/>
              <w:jc w:val="both"/>
              <w:rPr>
                <w:rFonts w:ascii="Arial" w:hAnsi="Arial" w:cs="Arial"/>
                <w:b/>
              </w:rPr>
            </w:pPr>
            <w:r w:rsidRPr="000F513B">
              <w:rPr>
                <w:rFonts w:ascii="Arial" w:hAnsi="Arial" w:cs="Arial"/>
                <w:b/>
              </w:rPr>
              <w:t>What are working papers? Which type of information do they contain?</w:t>
            </w:r>
          </w:p>
          <w:p w:rsidR="00E0073A" w:rsidRPr="000F513B" w:rsidRDefault="00E0073A" w:rsidP="00E0073A">
            <w:pPr>
              <w:pStyle w:val="ListParagraph"/>
              <w:spacing w:line="360" w:lineRule="auto"/>
              <w:ind w:left="1080"/>
              <w:jc w:val="both"/>
              <w:rPr>
                <w:rFonts w:ascii="Arial" w:hAnsi="Arial" w:cs="Arial"/>
                <w:b/>
              </w:rPr>
            </w:pPr>
          </w:p>
          <w:p w:rsidR="00E0073A" w:rsidRDefault="00E0073A" w:rsidP="00E0073A">
            <w:pPr>
              <w:spacing w:line="360" w:lineRule="auto"/>
              <w:jc w:val="both"/>
              <w:rPr>
                <w:rFonts w:ascii="Arial" w:hAnsi="Arial" w:cs="Arial"/>
              </w:rPr>
            </w:pPr>
            <w:r w:rsidRPr="000F513B">
              <w:rPr>
                <w:rFonts w:ascii="Arial" w:hAnsi="Arial" w:cs="Arial"/>
              </w:rPr>
              <w:t xml:space="preserve">The definition of ‘working papers’ in the context of investigations really depends on the context. They generally fall into two categories: (a) working papers of an investigator created during an investigation (for example the working papers of a liquidator or forensic accountant); (b) working papers of a third party that an investigator is trying to obtain (for example a liquidator that attempts to obtain the working papers of an accountant / auditor of a company). </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rPr>
            </w:pPr>
            <w:r w:rsidRPr="000F513B">
              <w:rPr>
                <w:rFonts w:ascii="Arial" w:hAnsi="Arial" w:cs="Arial"/>
              </w:rPr>
              <w:t xml:space="preserve">Generally, working papers means the summaries and analyses i.e. work product, of the investigator (in the case of (a) above). Likewise, in the case of (b), working papers will include analysis, summaries internal conclusions and workings of say an accountant or auditor. Either some or all of the ‘internal’ workings will usually then be put into a report to the client. That report will not be a working paper.  </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rPr>
            </w:pPr>
            <w:r w:rsidRPr="000F513B">
              <w:rPr>
                <w:rFonts w:ascii="Arial" w:hAnsi="Arial" w:cs="Arial"/>
              </w:rPr>
              <w:t xml:space="preserve">Often liquidators will inquire into the way in which audits were conducted. During that type of investigation they will often request access to auditor’s working papers. Often the auditor will refuse, usually for fear of exposing the auditor to the risk of a professional negligence action. </w:t>
            </w:r>
          </w:p>
          <w:p w:rsidR="00E0073A" w:rsidRPr="000F513B" w:rsidRDefault="00E0073A" w:rsidP="00E0073A">
            <w:pPr>
              <w:spacing w:line="360" w:lineRule="auto"/>
              <w:jc w:val="both"/>
              <w:rPr>
                <w:rFonts w:ascii="Arial" w:hAnsi="Arial" w:cs="Arial"/>
                <w:i/>
              </w:rPr>
            </w:pPr>
          </w:p>
          <w:p w:rsidR="00E0073A" w:rsidRDefault="00E0073A" w:rsidP="00E0073A">
            <w:pPr>
              <w:spacing w:line="360" w:lineRule="auto"/>
              <w:jc w:val="both"/>
              <w:rPr>
                <w:rFonts w:ascii="Arial" w:hAnsi="Arial" w:cs="Arial"/>
              </w:rPr>
            </w:pPr>
            <w:r w:rsidRPr="000F513B">
              <w:rPr>
                <w:rFonts w:ascii="Arial" w:hAnsi="Arial" w:cs="Arial"/>
              </w:rPr>
              <w:t>Access to the work product of an investigator can, likewise, become a contentious issue. For example, during litigation, a defendant may well apply to the court for disclosure of the investigators working papers on the basis that their conclusions are relevant, and that those conclusions may be different or more nuanced to those contained in a report and/or that are being presented by the claimant to the court. There is also a debate as to who those working papers belong to; do they belong to the firm of the investigator or to the client (i.e. who instructed the investigator)?</w:t>
            </w:r>
          </w:p>
          <w:p w:rsidR="00E0073A" w:rsidRPr="000F513B" w:rsidRDefault="00E0073A" w:rsidP="00E0073A">
            <w:pPr>
              <w:spacing w:line="360" w:lineRule="auto"/>
              <w:jc w:val="both"/>
              <w:rPr>
                <w:rFonts w:ascii="Arial" w:hAnsi="Arial" w:cs="Arial"/>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In contrast, section 236(3) of the IA 1986, which is aimed more widely at assisting an insolvency officeholder with his investigations into the company's affairs and dealings, enables a liquidator to apply to court for an order, against certain parties, for the production of ​any books, papers or other records in his possession or control relating to the </w:t>
            </w:r>
            <w:r w:rsidRPr="000F513B">
              <w:rPr>
                <w:rFonts w:ascii="Arial" w:hAnsi="Arial" w:cs="Arial"/>
                <w:shd w:val="clear" w:color="auto" w:fill="FFFFFF"/>
              </w:rPr>
              <w:lastRenderedPageBreak/>
              <w:t>company. The power granted to a liquidator under this section might therefore, in appropriate circumstances, entitle a liquidator to obtain the working papers/files and notes of an accountant.</w:t>
            </w:r>
          </w:p>
          <w:p w:rsidR="00E0073A" w:rsidRPr="000F513B" w:rsidRDefault="00E0073A" w:rsidP="00E0073A">
            <w:pPr>
              <w:spacing w:line="360" w:lineRule="auto"/>
              <w:jc w:val="both"/>
              <w:rPr>
                <w:rFonts w:ascii="Arial" w:hAnsi="Arial" w:cs="Arial"/>
                <w:shd w:val="clear" w:color="auto" w:fill="FFFFFF"/>
              </w:rPr>
            </w:pPr>
          </w:p>
          <w:p w:rsidR="00E0073A" w:rsidRPr="000F513B" w:rsidRDefault="00E0073A" w:rsidP="00E0073A">
            <w:pPr>
              <w:pStyle w:val="ListParagraph"/>
              <w:numPr>
                <w:ilvl w:val="0"/>
                <w:numId w:val="26"/>
              </w:numPr>
              <w:spacing w:line="360" w:lineRule="auto"/>
              <w:jc w:val="both"/>
              <w:rPr>
                <w:rFonts w:cs="Calibri"/>
              </w:rPr>
            </w:pPr>
            <w:r w:rsidRPr="000F513B">
              <w:rPr>
                <w:rFonts w:ascii="Arial" w:hAnsi="Arial" w:cs="Arial"/>
                <w:b/>
              </w:rPr>
              <w:t>Outline the main steps involved in the evidence gathering process.</w:t>
            </w:r>
          </w:p>
          <w:p w:rsidR="00E0073A" w:rsidRPr="000F513B"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The main steps in the evidence gathering process largely depends on what potential evidence there actually is, where it is located and how important each piece of evidence actually is. However, the learning materials</w:t>
            </w:r>
            <w:r w:rsidRPr="000F513B">
              <w:rPr>
                <w:rStyle w:val="FootnoteReference"/>
                <w:rFonts w:ascii="Arial" w:hAnsi="Arial" w:cs="Arial"/>
                <w:shd w:val="clear" w:color="auto" w:fill="FFFFFF"/>
              </w:rPr>
              <w:footnoteReference w:id="6"/>
            </w:r>
            <w:r w:rsidRPr="000F513B">
              <w:rPr>
                <w:rFonts w:ascii="Arial" w:hAnsi="Arial" w:cs="Arial"/>
                <w:shd w:val="clear" w:color="auto" w:fill="FFFFFF"/>
              </w:rPr>
              <w:t xml:space="preserve"> groups the critical steps in the evidence gathering process as follows:</w:t>
            </w:r>
          </w:p>
          <w:p w:rsidR="00E0073A" w:rsidRPr="000F513B" w:rsidRDefault="00E0073A" w:rsidP="00E0073A">
            <w:pPr>
              <w:pStyle w:val="ListParagraph"/>
              <w:numPr>
                <w:ilvl w:val="0"/>
                <w:numId w:val="38"/>
              </w:numPr>
              <w:spacing w:line="360" w:lineRule="auto"/>
              <w:jc w:val="both"/>
              <w:rPr>
                <w:rFonts w:ascii="Arial" w:hAnsi="Arial" w:cs="Arial"/>
                <w:shd w:val="clear" w:color="auto" w:fill="FFFFFF"/>
              </w:rPr>
            </w:pPr>
            <w:r w:rsidRPr="000F513B">
              <w:rPr>
                <w:rFonts w:ascii="Arial" w:hAnsi="Arial" w:cs="Arial"/>
                <w:shd w:val="clear" w:color="auto" w:fill="FFFFFF"/>
              </w:rPr>
              <w:t>Planning considerations</w:t>
            </w:r>
          </w:p>
          <w:p w:rsidR="00E0073A" w:rsidRPr="000F513B" w:rsidRDefault="00E0073A" w:rsidP="00E0073A">
            <w:pPr>
              <w:pStyle w:val="ListParagraph"/>
              <w:numPr>
                <w:ilvl w:val="0"/>
                <w:numId w:val="38"/>
              </w:numPr>
              <w:spacing w:line="360" w:lineRule="auto"/>
              <w:jc w:val="both"/>
              <w:rPr>
                <w:rFonts w:ascii="Arial" w:hAnsi="Arial" w:cs="Arial"/>
                <w:shd w:val="clear" w:color="auto" w:fill="FFFFFF"/>
              </w:rPr>
            </w:pPr>
            <w:r w:rsidRPr="000F513B">
              <w:rPr>
                <w:rFonts w:ascii="Arial" w:hAnsi="Arial" w:cs="Arial"/>
                <w:shd w:val="clear" w:color="auto" w:fill="FFFFFF"/>
              </w:rPr>
              <w:t>Document retention and document gathering</w:t>
            </w:r>
          </w:p>
          <w:p w:rsidR="00E0073A" w:rsidRDefault="00E0073A" w:rsidP="00E0073A">
            <w:pPr>
              <w:pStyle w:val="ListParagraph"/>
              <w:numPr>
                <w:ilvl w:val="0"/>
                <w:numId w:val="38"/>
              </w:numPr>
              <w:spacing w:line="360" w:lineRule="auto"/>
              <w:jc w:val="both"/>
              <w:rPr>
                <w:rFonts w:ascii="Arial" w:hAnsi="Arial" w:cs="Arial"/>
                <w:shd w:val="clear" w:color="auto" w:fill="FFFFFF"/>
              </w:rPr>
            </w:pPr>
            <w:r w:rsidRPr="000F513B">
              <w:rPr>
                <w:rFonts w:ascii="Arial" w:hAnsi="Arial" w:cs="Arial"/>
                <w:shd w:val="clear" w:color="auto" w:fill="FFFFFF"/>
              </w:rPr>
              <w:t>Creating a chain of custody</w:t>
            </w:r>
          </w:p>
          <w:p w:rsidR="00E0073A" w:rsidRPr="000F513B" w:rsidRDefault="00E0073A" w:rsidP="00E0073A">
            <w:pPr>
              <w:pStyle w:val="ListParagraph"/>
              <w:spacing w:line="360" w:lineRule="auto"/>
              <w:ind w:left="1080"/>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The points that should be considered when planning for the evidence gathering process are considered at question (iv) above. Creating a chain of custody and why it is important to keep the collected evidence in a well-</w:t>
            </w:r>
            <w:proofErr w:type="spellStart"/>
            <w:r w:rsidRPr="000F513B">
              <w:rPr>
                <w:rFonts w:ascii="Arial" w:hAnsi="Arial" w:cs="Arial"/>
                <w:shd w:val="clear" w:color="auto" w:fill="FFFFFF"/>
              </w:rPr>
              <w:t>organised</w:t>
            </w:r>
            <w:proofErr w:type="spellEnd"/>
            <w:r w:rsidRPr="000F513B">
              <w:rPr>
                <w:rFonts w:ascii="Arial" w:hAnsi="Arial" w:cs="Arial"/>
                <w:shd w:val="clear" w:color="auto" w:fill="FFFFFF"/>
              </w:rPr>
              <w:t xml:space="preserve"> manner is discussed at question (ii) above. Much of this will not be repeated in this question.</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The steps involved in the evidence gathering process will include:</w:t>
            </w:r>
          </w:p>
          <w:p w:rsidR="00E0073A" w:rsidRPr="000F513B" w:rsidRDefault="00E0073A" w:rsidP="00E0073A">
            <w:pPr>
              <w:spacing w:line="360" w:lineRule="auto"/>
              <w:jc w:val="both"/>
              <w:rPr>
                <w:rFonts w:ascii="Arial" w:hAnsi="Arial" w:cs="Arial"/>
                <w:shd w:val="clear" w:color="auto" w:fill="FFFFFF"/>
              </w:rPr>
            </w:pPr>
          </w:p>
          <w:p w:rsidR="00E0073A" w:rsidRPr="000F513B" w:rsidRDefault="00E0073A" w:rsidP="00E0073A">
            <w:pPr>
              <w:pStyle w:val="ListParagraph"/>
              <w:numPr>
                <w:ilvl w:val="0"/>
                <w:numId w:val="39"/>
              </w:numPr>
              <w:spacing w:line="360" w:lineRule="auto"/>
              <w:jc w:val="both"/>
              <w:rPr>
                <w:rFonts w:ascii="Arial" w:hAnsi="Arial" w:cs="Arial"/>
                <w:shd w:val="clear" w:color="auto" w:fill="FFFFFF"/>
              </w:rPr>
            </w:pPr>
            <w:r w:rsidRPr="000F513B">
              <w:rPr>
                <w:rFonts w:ascii="Arial" w:hAnsi="Arial" w:cs="Arial"/>
                <w:shd w:val="clear" w:color="auto" w:fill="FFFFFF"/>
              </w:rPr>
              <w:t xml:space="preserve">Planning – This may overlap with the efforts to secure (and possibly gather) available evidence depending how time critical the investigation is; i.e. what is the risk of tampering with or destruction of the evidence. However, there will usually be either a formal or informal plan that is at least discussed (if not written) as to how to secure and gather the available evidence.  </w:t>
            </w:r>
          </w:p>
          <w:p w:rsidR="00E0073A" w:rsidRPr="000F513B" w:rsidRDefault="00E0073A" w:rsidP="00E0073A">
            <w:pPr>
              <w:pStyle w:val="ListParagraph"/>
              <w:spacing w:line="360" w:lineRule="auto"/>
              <w:ind w:left="1080"/>
              <w:jc w:val="both"/>
              <w:rPr>
                <w:rFonts w:ascii="Arial" w:hAnsi="Arial" w:cs="Arial"/>
                <w:shd w:val="clear" w:color="auto" w:fill="FFFFFF"/>
              </w:rPr>
            </w:pPr>
          </w:p>
          <w:p w:rsidR="00E0073A" w:rsidRDefault="00E0073A" w:rsidP="00E0073A">
            <w:pPr>
              <w:pStyle w:val="ListParagraph"/>
              <w:numPr>
                <w:ilvl w:val="0"/>
                <w:numId w:val="39"/>
              </w:numPr>
              <w:spacing w:line="360" w:lineRule="auto"/>
              <w:jc w:val="both"/>
              <w:rPr>
                <w:rFonts w:ascii="Arial" w:hAnsi="Arial" w:cs="Arial"/>
                <w:shd w:val="clear" w:color="auto" w:fill="FFFFFF"/>
              </w:rPr>
            </w:pPr>
            <w:r w:rsidRPr="000F513B">
              <w:rPr>
                <w:rFonts w:ascii="Arial" w:hAnsi="Arial" w:cs="Arial"/>
                <w:shd w:val="clear" w:color="auto" w:fill="FFFFFF"/>
              </w:rPr>
              <w:t xml:space="preserve">Document retention / securing documents – securing the evidence is the most important initial task to undertake at the earlier stage of the investigation. Failure to do so may mean the evidence is tampered with, destroyed, or its integrity is compromised such that it is afforded little or no weight by a judge in any subsequent trial. At worst, that could lead to a professional negligence action against the forensic advisor. The ease with which securing the documents can be accomplished depends on the nature of the evidence. For example, securing a room full of hard copy documents may be achieved by changing the lock on the door and giving the key to the investigation team members only. That is a </w:t>
            </w:r>
            <w:r w:rsidRPr="000F513B">
              <w:rPr>
                <w:rFonts w:ascii="Arial" w:hAnsi="Arial" w:cs="Arial"/>
                <w:shd w:val="clear" w:color="auto" w:fill="FFFFFF"/>
              </w:rPr>
              <w:lastRenderedPageBreak/>
              <w:t xml:space="preserve">simple example. Conversely, the student has previously discussed the difficulties associated with securing data that is stored on the Cloud. Securing this data may require more than one court application, numerous letters with data storage companies and hundreds of hours of reviewing data that is provided by that company. Somewhere in between these two extremes may involve applying to the court for a search and seizure order in respect of data held by a suspect or third parties. </w:t>
            </w:r>
          </w:p>
          <w:p w:rsidR="00E0073A" w:rsidRPr="000F513B" w:rsidRDefault="00E0073A" w:rsidP="00E0073A">
            <w:pPr>
              <w:pStyle w:val="ListParagraph"/>
              <w:spacing w:line="360" w:lineRule="auto"/>
              <w:ind w:left="1080"/>
              <w:jc w:val="both"/>
              <w:rPr>
                <w:rFonts w:ascii="Arial" w:hAnsi="Arial" w:cs="Arial"/>
                <w:shd w:val="clear" w:color="auto" w:fill="FFFFFF"/>
              </w:rPr>
            </w:pPr>
          </w:p>
          <w:p w:rsidR="00E0073A" w:rsidRPr="000F513B" w:rsidRDefault="00E0073A" w:rsidP="00E0073A">
            <w:pPr>
              <w:spacing w:line="360" w:lineRule="auto"/>
              <w:ind w:left="1080"/>
              <w:jc w:val="both"/>
              <w:rPr>
                <w:rFonts w:ascii="Arial" w:hAnsi="Arial" w:cs="Arial"/>
                <w:shd w:val="clear" w:color="auto" w:fill="FFFFFF"/>
              </w:rPr>
            </w:pPr>
            <w:r w:rsidRPr="000F513B">
              <w:rPr>
                <w:rFonts w:ascii="Arial" w:hAnsi="Arial" w:cs="Arial"/>
                <w:shd w:val="clear" w:color="auto" w:fill="FFFFFF"/>
              </w:rPr>
              <w:t>In considering what evidence to obtain, how long to retain it, any forensic advisor should be familiar with the terms of the Civil Procedure Rules part 31 and its practice direction. Some of the relevant provisions include:</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CPR 31.4 says “‘</w:t>
            </w:r>
            <w:r w:rsidRPr="000F513B">
              <w:rPr>
                <w:rFonts w:ascii="Arial" w:hAnsi="Arial" w:cs="Arial"/>
                <w:i/>
                <w:shd w:val="clear" w:color="auto" w:fill="FFFFFF"/>
              </w:rPr>
              <w:t>document’ means anything in which information of any description is recorded</w:t>
            </w:r>
            <w:r w:rsidRPr="000F513B">
              <w:rPr>
                <w:rFonts w:ascii="Arial" w:hAnsi="Arial" w:cs="Arial"/>
                <w:shd w:val="clear" w:color="auto" w:fill="FFFFFF"/>
              </w:rPr>
              <w:t>”.</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 xml:space="preserve">CPR PD </w:t>
            </w:r>
            <w:proofErr w:type="gramStart"/>
            <w:r w:rsidRPr="000F513B">
              <w:rPr>
                <w:rFonts w:ascii="Arial" w:hAnsi="Arial" w:cs="Arial"/>
                <w:shd w:val="clear" w:color="auto" w:fill="FFFFFF"/>
              </w:rPr>
              <w:t>31B(</w:t>
            </w:r>
            <w:proofErr w:type="gramEnd"/>
            <w:r w:rsidRPr="000F513B">
              <w:rPr>
                <w:rFonts w:ascii="Arial" w:hAnsi="Arial" w:cs="Arial"/>
                <w:shd w:val="clear" w:color="auto" w:fill="FFFFFF"/>
              </w:rPr>
              <w:t>7) - Preservation of documents -  “</w:t>
            </w:r>
            <w:r w:rsidRPr="000F513B">
              <w:rPr>
                <w:rFonts w:ascii="Arial" w:hAnsi="Arial" w:cs="Arial"/>
                <w:i/>
                <w:shd w:val="clear" w:color="auto" w:fill="FFFFFF"/>
              </w:rPr>
              <w:t>As soon as litigation is contemplated, the parties' legal representatives must notify their clients of the need to preserve disclosable documents. The documents to be preserved include Electronic Documents which would otherwise be deleted in accordance with a document retention policy or otherwise deleted in the ordinary course of business.”</w:t>
            </w:r>
          </w:p>
          <w:p w:rsidR="00E0073A" w:rsidRPr="000F513B" w:rsidRDefault="00E0073A" w:rsidP="00E0073A">
            <w:pPr>
              <w:pStyle w:val="ListParagraph"/>
              <w:spacing w:line="360" w:lineRule="auto"/>
              <w:jc w:val="both"/>
              <w:rPr>
                <w:rFonts w:ascii="Arial" w:hAnsi="Arial" w:cs="Arial"/>
                <w:shd w:val="clear" w:color="auto" w:fill="FFFFFF"/>
              </w:rPr>
            </w:pPr>
          </w:p>
          <w:p w:rsidR="00E0073A" w:rsidRPr="000F513B" w:rsidRDefault="00E0073A" w:rsidP="00E0073A">
            <w:pPr>
              <w:pStyle w:val="ListParagraph"/>
              <w:numPr>
                <w:ilvl w:val="0"/>
                <w:numId w:val="39"/>
              </w:numPr>
              <w:spacing w:line="360" w:lineRule="auto"/>
              <w:jc w:val="both"/>
              <w:rPr>
                <w:rFonts w:ascii="Arial" w:hAnsi="Arial" w:cs="Arial"/>
                <w:shd w:val="clear" w:color="auto" w:fill="FFFFFF"/>
              </w:rPr>
            </w:pPr>
            <w:r w:rsidRPr="000F513B">
              <w:rPr>
                <w:rFonts w:ascii="Arial" w:hAnsi="Arial" w:cs="Arial"/>
                <w:shd w:val="clear" w:color="auto" w:fill="FFFFFF"/>
              </w:rPr>
              <w:t>Creating a chain of custody – The student has discussed the importance of maintaining the integrity of the evidence and why it is important to maintain chain of custody.</w:t>
            </w:r>
            <w:r w:rsidRPr="000F513B">
              <w:rPr>
                <w:rStyle w:val="FootnoteReference"/>
                <w:rFonts w:ascii="Arial" w:hAnsi="Arial" w:cs="Arial"/>
                <w:shd w:val="clear" w:color="auto" w:fill="FFFFFF"/>
              </w:rPr>
              <w:footnoteReference w:id="7"/>
            </w:r>
            <w:r w:rsidRPr="000F513B">
              <w:rPr>
                <w:rFonts w:ascii="Arial" w:hAnsi="Arial" w:cs="Arial"/>
                <w:shd w:val="clear" w:color="auto" w:fill="FFFFFF"/>
              </w:rPr>
              <w:t xml:space="preserve"> The student has experience of the steps involved in maintaining chain of custody in the case of hard copy files; (a) each hard copy file is logged on a spreadsheet; (b) any removal for inspection purposes is logged with the date / time and person that removed it; (c) the date and time and person that returned the item is also recorded. </w:t>
            </w:r>
          </w:p>
          <w:p w:rsidR="00E0073A" w:rsidRPr="000F513B" w:rsidRDefault="00E0073A" w:rsidP="00E0073A">
            <w:pPr>
              <w:autoSpaceDE w:val="0"/>
              <w:autoSpaceDN w:val="0"/>
              <w:adjustRightInd w:val="0"/>
              <w:rPr>
                <w:rFonts w:ascii="Calibri" w:hAnsi="Calibri" w:cs="Calibri"/>
              </w:rPr>
            </w:pPr>
          </w:p>
          <w:p w:rsidR="00E0073A" w:rsidRPr="000F513B" w:rsidRDefault="00E0073A" w:rsidP="00E0073A">
            <w:pPr>
              <w:autoSpaceDE w:val="0"/>
              <w:autoSpaceDN w:val="0"/>
              <w:adjustRightInd w:val="0"/>
              <w:rPr>
                <w:rFonts w:ascii="Calibri" w:hAnsi="Calibri" w:cs="Calibri"/>
              </w:rPr>
            </w:pPr>
          </w:p>
          <w:p w:rsidR="00E0073A" w:rsidRPr="000F513B" w:rsidRDefault="00E0073A" w:rsidP="00E0073A">
            <w:pPr>
              <w:pStyle w:val="ListParagraph"/>
              <w:numPr>
                <w:ilvl w:val="0"/>
                <w:numId w:val="26"/>
              </w:numPr>
              <w:spacing w:line="360" w:lineRule="auto"/>
              <w:jc w:val="both"/>
              <w:rPr>
                <w:rFonts w:ascii="Arial" w:hAnsi="Arial" w:cs="Arial"/>
                <w:b/>
              </w:rPr>
            </w:pPr>
            <w:r w:rsidRPr="000F513B">
              <w:rPr>
                <w:rFonts w:ascii="Arial" w:hAnsi="Arial" w:cs="Arial"/>
                <w:b/>
              </w:rPr>
              <w:t>Which types of documents are collected in the evidence gathering process and what could be the possible sources for these?</w:t>
            </w: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Again, the terms of the Civil Procedure Rules 31.4 should be considered. This says that a </w:t>
            </w:r>
            <w:r w:rsidRPr="000F513B">
              <w:rPr>
                <w:rFonts w:ascii="Arial" w:hAnsi="Arial" w:cs="Arial"/>
                <w:i/>
                <w:shd w:val="clear" w:color="auto" w:fill="FFFFFF"/>
              </w:rPr>
              <w:t>“‘document’ means anything in which information of any description is recorded</w:t>
            </w:r>
            <w:r w:rsidRPr="000F513B">
              <w:rPr>
                <w:rFonts w:ascii="Arial" w:hAnsi="Arial" w:cs="Arial"/>
                <w:shd w:val="clear" w:color="auto" w:fill="FFFFFF"/>
              </w:rPr>
              <w:t xml:space="preserve">”. That </w:t>
            </w:r>
            <w:r w:rsidRPr="000F513B">
              <w:rPr>
                <w:rFonts w:ascii="Arial" w:hAnsi="Arial" w:cs="Arial"/>
                <w:shd w:val="clear" w:color="auto" w:fill="FFFFFF"/>
              </w:rPr>
              <w:lastRenderedPageBreak/>
              <w:t>effectively puts no limit on the types of documents that could be collected in the evidence gathering process. In fact, it is hard to conceive of a document that does not record information.</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In terms of devices, the possible sources are listed in the learning materials at page 7 and include various electronic devices. One of the most important is likely to be the server, as this is where most information is likely to be stored and backed up. Indeed it is crucial to secure access to the server and to ensure it is not tampered with. The student has experience of an investigation in which an entire server was removed from Switzerland to Saudi Arabia in order to frustrate the investigations into that company.  </w:t>
            </w:r>
          </w:p>
          <w:p w:rsidR="00E0073A" w:rsidRPr="000F513B" w:rsidRDefault="00E0073A" w:rsidP="00E0073A">
            <w:pPr>
              <w:spacing w:line="360" w:lineRule="auto"/>
              <w:jc w:val="both"/>
              <w:rPr>
                <w:rFonts w:ascii="Arial" w:hAnsi="Arial" w:cs="Arial"/>
                <w:shd w:val="clear" w:color="auto" w:fill="FFFFFF"/>
              </w:rPr>
            </w:pPr>
          </w:p>
          <w:p w:rsidR="00E0073A" w:rsidRPr="000F513B"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In terms of people and institutions that may be possible sources, they will include documents from (a) the victim; (b) the suspect(s); and (c) third parties. These include:</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Banks;</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Public records;</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The employer of any suspect, or the company against which the fraud is suspected (i.e. the victim);</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Accountants and auditors;</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Lawyers (of the company and the suspect);</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The home of any suspect;</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Industry contacts;</w:t>
            </w:r>
          </w:p>
          <w:p w:rsidR="00E0073A" w:rsidRPr="000F513B"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Individuals including the suspect, colleagues, family and friends</w:t>
            </w:r>
          </w:p>
          <w:p w:rsidR="00E0073A" w:rsidRDefault="00E0073A" w:rsidP="00E0073A">
            <w:pPr>
              <w:pStyle w:val="ListParagraph"/>
              <w:numPr>
                <w:ilvl w:val="0"/>
                <w:numId w:val="40"/>
              </w:numPr>
              <w:spacing w:line="360" w:lineRule="auto"/>
              <w:jc w:val="both"/>
              <w:rPr>
                <w:rFonts w:ascii="Arial" w:hAnsi="Arial" w:cs="Arial"/>
                <w:shd w:val="clear" w:color="auto" w:fill="FFFFFF"/>
              </w:rPr>
            </w:pPr>
            <w:r w:rsidRPr="000F513B">
              <w:rPr>
                <w:rFonts w:ascii="Arial" w:hAnsi="Arial" w:cs="Arial"/>
                <w:shd w:val="clear" w:color="auto" w:fill="FFFFFF"/>
              </w:rPr>
              <w:t>Cloud service providers and external servers</w:t>
            </w:r>
          </w:p>
          <w:p w:rsidR="00E0073A" w:rsidRPr="000F513B" w:rsidRDefault="00E0073A" w:rsidP="00E0073A">
            <w:pPr>
              <w:pStyle w:val="ListParagraph"/>
              <w:spacing w:line="360" w:lineRule="auto"/>
              <w:ind w:left="1440"/>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Further, types of documents will include statements provided by witnesses, transactional paperwork, internal documents, bank statements, emails and other correspondence. Given the wide definition of ‘document’, the list is extensive. The student has recently attended a talk which touched on the use of home management systems such as Amazon ‘Echo’ can be used as evidence given their recording capability. </w:t>
            </w:r>
          </w:p>
          <w:p w:rsidR="00E0073A" w:rsidRPr="000F513B" w:rsidRDefault="00E0073A" w:rsidP="00E0073A">
            <w:pPr>
              <w:spacing w:line="360" w:lineRule="auto"/>
              <w:jc w:val="both"/>
              <w:rPr>
                <w:rFonts w:ascii="Arial" w:hAnsi="Arial" w:cs="Arial"/>
                <w:shd w:val="clear" w:color="auto" w:fill="FFFFFF"/>
              </w:rPr>
            </w:pPr>
          </w:p>
          <w:p w:rsidR="00E0073A" w:rsidRPr="000F513B" w:rsidRDefault="00E0073A" w:rsidP="00E0073A">
            <w:pPr>
              <w:spacing w:line="360" w:lineRule="auto"/>
              <w:jc w:val="both"/>
              <w:rPr>
                <w:rFonts w:ascii="Arial" w:hAnsi="Arial" w:cs="Arial"/>
                <w:b/>
                <w:u w:val="single"/>
                <w:shd w:val="clear" w:color="auto" w:fill="FFFFFF"/>
              </w:rPr>
            </w:pPr>
            <w:r w:rsidRPr="000F513B">
              <w:rPr>
                <w:rFonts w:ascii="Arial" w:hAnsi="Arial" w:cs="Arial"/>
                <w:b/>
                <w:u w:val="single"/>
                <w:shd w:val="clear" w:color="auto" w:fill="FFFFFF"/>
              </w:rPr>
              <w:t>Question 2</w:t>
            </w:r>
          </w:p>
          <w:p w:rsidR="00E0073A" w:rsidRDefault="00E0073A" w:rsidP="00E0073A">
            <w:pPr>
              <w:spacing w:line="360" w:lineRule="auto"/>
              <w:jc w:val="both"/>
              <w:rPr>
                <w:rFonts w:ascii="Arial" w:hAnsi="Arial" w:cs="Arial"/>
                <w:b/>
                <w:shd w:val="clear" w:color="auto" w:fill="FFFFFF"/>
              </w:rPr>
            </w:pPr>
            <w:r w:rsidRPr="000F513B">
              <w:rPr>
                <w:rFonts w:ascii="Arial" w:hAnsi="Arial" w:cs="Arial"/>
                <w:b/>
                <w:shd w:val="clear" w:color="auto" w:fill="FFFFFF"/>
              </w:rPr>
              <w:t xml:space="preserve">Evidence is required to support any investigation of financial crime. Discuss various types of evidence used in financial crime investigations. </w:t>
            </w:r>
          </w:p>
          <w:p w:rsidR="00E0073A" w:rsidRPr="000F513B" w:rsidRDefault="00E0073A" w:rsidP="00E0073A">
            <w:pPr>
              <w:spacing w:line="360" w:lineRule="auto"/>
              <w:jc w:val="both"/>
              <w:rPr>
                <w:rFonts w:ascii="Arial" w:hAnsi="Arial" w:cs="Arial"/>
                <w:b/>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The types of evidence used in financial crime investigations will typically depend on the sophistication, nature and scale of the offence. For example, the evidence required to prove </w:t>
            </w:r>
            <w:r w:rsidRPr="000F513B">
              <w:rPr>
                <w:rFonts w:ascii="Arial" w:hAnsi="Arial" w:cs="Arial"/>
                <w:shd w:val="clear" w:color="auto" w:fill="FFFFFF"/>
              </w:rPr>
              <w:lastRenderedPageBreak/>
              <w:t xml:space="preserve">a financial statement fraud may differ to proving a case of bribery or corruption. I shall </w:t>
            </w:r>
            <w:r>
              <w:rPr>
                <w:rFonts w:ascii="Arial" w:hAnsi="Arial" w:cs="Arial"/>
                <w:shd w:val="clear" w:color="auto" w:fill="FFFFFF"/>
              </w:rPr>
              <w:t>examine the types of evidence available</w:t>
            </w:r>
            <w:r w:rsidRPr="000F513B">
              <w:rPr>
                <w:rFonts w:ascii="Arial" w:hAnsi="Arial" w:cs="Arial"/>
                <w:shd w:val="clear" w:color="auto" w:fill="FFFFFF"/>
              </w:rPr>
              <w:t xml:space="preserve"> two </w:t>
            </w:r>
            <w:r>
              <w:rPr>
                <w:rFonts w:ascii="Arial" w:hAnsi="Arial" w:cs="Arial"/>
                <w:shd w:val="clear" w:color="auto" w:fill="FFFFFF"/>
              </w:rPr>
              <w:t xml:space="preserve">hypothetical </w:t>
            </w:r>
            <w:r w:rsidRPr="000F513B">
              <w:rPr>
                <w:rFonts w:ascii="Arial" w:hAnsi="Arial" w:cs="Arial"/>
                <w:shd w:val="clear" w:color="auto" w:fill="FFFFFF"/>
              </w:rPr>
              <w:t>examples in this question; (a) a scenario where a Ponzi scheme has operated by a company (but under the de facto control of one dominant shareholder) to defraud individual and institutional investors; and (b) where an employee of a company has</w:t>
            </w:r>
            <w:r>
              <w:rPr>
                <w:rFonts w:ascii="Arial" w:hAnsi="Arial" w:cs="Arial"/>
                <w:shd w:val="clear" w:color="auto" w:fill="FFFFFF"/>
              </w:rPr>
              <w:t xml:space="preserve"> unilaterally</w:t>
            </w:r>
            <w:r w:rsidRPr="000F513B">
              <w:rPr>
                <w:rFonts w:ascii="Arial" w:hAnsi="Arial" w:cs="Arial"/>
                <w:shd w:val="clear" w:color="auto" w:fill="FFFFFF"/>
              </w:rPr>
              <w:t xml:space="preserve"> paid</w:t>
            </w:r>
            <w:r>
              <w:rPr>
                <w:rFonts w:ascii="Arial" w:hAnsi="Arial" w:cs="Arial"/>
                <w:shd w:val="clear" w:color="auto" w:fill="FFFFFF"/>
              </w:rPr>
              <w:t xml:space="preserve"> a bribe to a foreign official to secure the contract to build a piece of infrastructure in the official’s country.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u w:val="single"/>
                <w:shd w:val="clear" w:color="auto" w:fill="FFFFFF"/>
              </w:rPr>
            </w:pPr>
            <w:r w:rsidRPr="000F513B">
              <w:rPr>
                <w:rFonts w:ascii="Arial" w:hAnsi="Arial" w:cs="Arial"/>
                <w:u w:val="single"/>
                <w:shd w:val="clear" w:color="auto" w:fill="FFFFFF"/>
              </w:rPr>
              <w:t>Ponzi scheme</w:t>
            </w:r>
          </w:p>
          <w:p w:rsidR="00E0073A" w:rsidRPr="000F513B" w:rsidRDefault="00E0073A" w:rsidP="00E0073A">
            <w:pPr>
              <w:spacing w:line="360" w:lineRule="auto"/>
              <w:jc w:val="both"/>
              <w:rPr>
                <w:rFonts w:ascii="Arial" w:hAnsi="Arial" w:cs="Arial"/>
                <w:u w:val="single"/>
                <w:shd w:val="clear" w:color="auto" w:fill="FFFFFF"/>
              </w:rPr>
            </w:pPr>
          </w:p>
          <w:p w:rsidR="00E0073A" w:rsidRDefault="00E0073A" w:rsidP="00E0073A">
            <w:pPr>
              <w:spacing w:line="360" w:lineRule="auto"/>
              <w:jc w:val="both"/>
              <w:rPr>
                <w:rFonts w:ascii="Arial" w:hAnsi="Arial" w:cs="Arial"/>
                <w:shd w:val="clear" w:color="auto" w:fill="FFFFFF"/>
              </w:rPr>
            </w:pPr>
            <w:r>
              <w:rPr>
                <w:rFonts w:ascii="Arial" w:hAnsi="Arial" w:cs="Arial"/>
                <w:shd w:val="clear" w:color="auto" w:fill="FFFFFF"/>
              </w:rPr>
              <w:t xml:space="preserve">A Ponzi scheme can operate in a number of ways, but one example would be by the raising of money from third party banks which is paid back using more borrowing from other banks. In the meantime, money is syphoned off into the fraudster’s bank account. The Ponzi scheme will end when no more finance can be raised to repay existing borrowing.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The most important evidence in this situation is likely to be document based evidence of financial transactions and money flows. Bank statements, i.e. documents that attract a high degree of confidence will most likely be the most important evidence available. </w:t>
            </w:r>
            <w:r>
              <w:rPr>
                <w:rFonts w:ascii="Arial" w:hAnsi="Arial" w:cs="Arial"/>
                <w:shd w:val="clear" w:color="auto" w:fill="FFFFFF"/>
              </w:rPr>
              <w:t xml:space="preserve">But internal records that show the true financial picture (rather than the picture presented by the company to external third parties) may be equally important. </w:t>
            </w:r>
          </w:p>
          <w:p w:rsidR="00E0073A"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Generally speaking, and in the student’s experience, the larger the size of the fraud, the more important it has been for the fraudster to keep track of how the fraud is operating. For example, in a large multi-million pound Ponzi scheme, internal ledgers will need to record all incoming and outgoing payments so that as payments can be made on time as they fall due (for example interest payments on loans). Failure to make those payments can lead to events of default and eventual discovery of the fraud. Therefore, cash flow spreadsheets (as well as ledgers) may be important. For example, the student has experience where a Ponzi scheme went undiscovered partly because certain payments</w:t>
            </w:r>
            <w:r>
              <w:rPr>
                <w:rFonts w:ascii="Arial" w:hAnsi="Arial" w:cs="Arial"/>
                <w:shd w:val="clear" w:color="auto" w:fill="FFFFFF"/>
              </w:rPr>
              <w:t xml:space="preserve"> (in and out)</w:t>
            </w:r>
            <w:r w:rsidRPr="000F513B">
              <w:rPr>
                <w:rFonts w:ascii="Arial" w:hAnsi="Arial" w:cs="Arial"/>
                <w:shd w:val="clear" w:color="auto" w:fill="FFFFFF"/>
              </w:rPr>
              <w:t xml:space="preserve"> were recorded on a ledger that was made available to accountants to audit, whereas payments out to the fraudster’s own account were recorded on separate, secret, ledgers that were concealed from external accountants. Internal evidence can therefore be crucial in understanding and proving to a court how the fraud operated.</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Pr>
                <w:rFonts w:ascii="Arial" w:hAnsi="Arial" w:cs="Arial"/>
                <w:shd w:val="clear" w:color="auto" w:fill="FFFFFF"/>
              </w:rPr>
              <w:t>D</w:t>
            </w:r>
            <w:r w:rsidRPr="000F513B">
              <w:rPr>
                <w:rFonts w:ascii="Arial" w:hAnsi="Arial" w:cs="Arial"/>
                <w:shd w:val="clear" w:color="auto" w:fill="FFFFFF"/>
              </w:rPr>
              <w:t>ocuments available from third parties including financial statements and audit reports prepared by accountants may help in showing what information was presented by the company</w:t>
            </w:r>
            <w:r>
              <w:rPr>
                <w:rFonts w:ascii="Arial" w:hAnsi="Arial" w:cs="Arial"/>
                <w:shd w:val="clear" w:color="auto" w:fill="FFFFFF"/>
              </w:rPr>
              <w:t xml:space="preserve"> to (a) its accountants; and (b) the outside world</w:t>
            </w:r>
            <w:r w:rsidRPr="000F513B">
              <w:rPr>
                <w:rFonts w:ascii="Arial" w:hAnsi="Arial" w:cs="Arial"/>
                <w:shd w:val="clear" w:color="auto" w:fill="FFFFFF"/>
              </w:rPr>
              <w:t xml:space="preserve">. Comparing this </w:t>
            </w:r>
            <w:r>
              <w:rPr>
                <w:rFonts w:ascii="Arial" w:hAnsi="Arial" w:cs="Arial"/>
                <w:shd w:val="clear" w:color="auto" w:fill="FFFFFF"/>
              </w:rPr>
              <w:t xml:space="preserve">information </w:t>
            </w:r>
            <w:r w:rsidRPr="000F513B">
              <w:rPr>
                <w:rFonts w:ascii="Arial" w:hAnsi="Arial" w:cs="Arial"/>
                <w:shd w:val="clear" w:color="auto" w:fill="FFFFFF"/>
              </w:rPr>
              <w:t xml:space="preserve">to the </w:t>
            </w:r>
            <w:r w:rsidRPr="000F513B">
              <w:rPr>
                <w:rFonts w:ascii="Arial" w:hAnsi="Arial" w:cs="Arial"/>
                <w:shd w:val="clear" w:color="auto" w:fill="FFFFFF"/>
              </w:rPr>
              <w:lastRenderedPageBreak/>
              <w:t xml:space="preserve">internal records </w:t>
            </w:r>
            <w:r>
              <w:rPr>
                <w:rFonts w:ascii="Arial" w:hAnsi="Arial" w:cs="Arial"/>
                <w:shd w:val="clear" w:color="auto" w:fill="FFFFFF"/>
              </w:rPr>
              <w:t>(which record the true financial picture) may</w:t>
            </w:r>
            <w:r w:rsidRPr="000F513B">
              <w:rPr>
                <w:rFonts w:ascii="Arial" w:hAnsi="Arial" w:cs="Arial"/>
                <w:shd w:val="clear" w:color="auto" w:fill="FFFFFF"/>
              </w:rPr>
              <w:t xml:space="preserve"> highlight information that has been withheld</w:t>
            </w:r>
            <w:r>
              <w:rPr>
                <w:rFonts w:ascii="Arial" w:hAnsi="Arial" w:cs="Arial"/>
                <w:shd w:val="clear" w:color="auto" w:fill="FFFFFF"/>
              </w:rPr>
              <w:t xml:space="preserve"> by the company</w:t>
            </w:r>
            <w:r w:rsidRPr="000F513B">
              <w:rPr>
                <w:rFonts w:ascii="Arial" w:hAnsi="Arial" w:cs="Arial"/>
                <w:shd w:val="clear" w:color="auto" w:fill="FFFFFF"/>
              </w:rPr>
              <w:t>, or may show that a false financial p</w:t>
            </w:r>
            <w:r>
              <w:rPr>
                <w:rFonts w:ascii="Arial" w:hAnsi="Arial" w:cs="Arial"/>
                <w:shd w:val="clear" w:color="auto" w:fill="FFFFFF"/>
              </w:rPr>
              <w:t>icture has been presented</w:t>
            </w:r>
            <w:r w:rsidRPr="000F513B">
              <w:rPr>
                <w:rFonts w:ascii="Arial" w:hAnsi="Arial" w:cs="Arial"/>
                <w:shd w:val="clear" w:color="auto" w:fill="FFFFFF"/>
              </w:rPr>
              <w:t xml:space="preserve">.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Pr>
                <w:rFonts w:ascii="Arial" w:hAnsi="Arial" w:cs="Arial"/>
                <w:shd w:val="clear" w:color="auto" w:fill="FFFFFF"/>
              </w:rPr>
              <w:t>O</w:t>
            </w:r>
            <w:r w:rsidRPr="000F513B">
              <w:rPr>
                <w:rFonts w:ascii="Arial" w:hAnsi="Arial" w:cs="Arial"/>
                <w:shd w:val="clear" w:color="auto" w:fill="FFFFFF"/>
              </w:rPr>
              <w:t xml:space="preserve">ther, non-financial, internal documents will be important including emailed instructions to employees and board meeting minutes. These may show who had control over the company, and who drove the operation of the fraud. For example, in the context of an investment Ponzi scheme, minutes may show that board members were not informed of investment decisions </w:t>
            </w:r>
            <w:r>
              <w:rPr>
                <w:rFonts w:ascii="Arial" w:hAnsi="Arial" w:cs="Arial"/>
                <w:shd w:val="clear" w:color="auto" w:fill="FFFFFF"/>
              </w:rPr>
              <w:t xml:space="preserve">or decisions to raise finance </w:t>
            </w:r>
            <w:r w:rsidRPr="000F513B">
              <w:rPr>
                <w:rFonts w:ascii="Arial" w:hAnsi="Arial" w:cs="Arial"/>
                <w:shd w:val="clear" w:color="auto" w:fill="FFFFFF"/>
              </w:rPr>
              <w:t xml:space="preserve">made by the owner / manager, or the board was told about decisions that were never actually made.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Signed statements and evidence from employees will be important in determining complicity amongst employees (witting or unwitting), how the fraud operated, who were the victims and participants, and the size of the fraud.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Third party disclosure orders, and search and seizure orders can be important tools to obtain this information. </w:t>
            </w:r>
            <w:r>
              <w:rPr>
                <w:rFonts w:ascii="Arial" w:hAnsi="Arial" w:cs="Arial"/>
                <w:shd w:val="clear" w:color="auto" w:fill="FFFFFF"/>
              </w:rPr>
              <w:t>However, bank statements are likely to be the most important information to establish fund flows, patterns of payments and money in and money out of the company.</w:t>
            </w:r>
          </w:p>
          <w:p w:rsidR="00E0073A" w:rsidRPr="000F513B" w:rsidRDefault="00E0073A" w:rsidP="00E0073A">
            <w:pPr>
              <w:spacing w:line="360" w:lineRule="auto"/>
              <w:jc w:val="both"/>
              <w:rPr>
                <w:rFonts w:ascii="Arial" w:hAnsi="Arial" w:cs="Arial"/>
                <w:shd w:val="clear" w:color="auto" w:fill="FFFFFF"/>
              </w:rPr>
            </w:pPr>
            <w:r>
              <w:rPr>
                <w:rFonts w:ascii="Arial" w:hAnsi="Arial" w:cs="Arial"/>
                <w:shd w:val="clear" w:color="auto" w:fill="FFFFFF"/>
              </w:rPr>
              <w:t xml:space="preserve"> </w:t>
            </w:r>
          </w:p>
          <w:p w:rsidR="00E0073A" w:rsidRDefault="00E0073A" w:rsidP="00E0073A">
            <w:pPr>
              <w:spacing w:line="360" w:lineRule="auto"/>
              <w:jc w:val="both"/>
              <w:rPr>
                <w:rFonts w:ascii="Arial" w:hAnsi="Arial" w:cs="Arial"/>
                <w:u w:val="single"/>
                <w:shd w:val="clear" w:color="auto" w:fill="FFFFFF"/>
              </w:rPr>
            </w:pPr>
            <w:r w:rsidRPr="000F513B">
              <w:rPr>
                <w:rFonts w:ascii="Arial" w:hAnsi="Arial" w:cs="Arial"/>
                <w:u w:val="single"/>
                <w:shd w:val="clear" w:color="auto" w:fill="FFFFFF"/>
              </w:rPr>
              <w:t>Bribery</w:t>
            </w:r>
          </w:p>
          <w:p w:rsidR="00E0073A" w:rsidRPr="000F513B" w:rsidRDefault="00E0073A" w:rsidP="00E0073A">
            <w:pPr>
              <w:spacing w:line="360" w:lineRule="auto"/>
              <w:jc w:val="both"/>
              <w:rPr>
                <w:rFonts w:ascii="Arial" w:hAnsi="Arial" w:cs="Arial"/>
                <w:u w:val="single"/>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 xml:space="preserve">Much of the same evidence could be important in a bribery context. In particular, bank statements and internal financial records will be important. </w:t>
            </w:r>
            <w:r>
              <w:rPr>
                <w:rFonts w:ascii="Arial" w:hAnsi="Arial" w:cs="Arial"/>
                <w:shd w:val="clear" w:color="auto" w:fill="FFFFFF"/>
              </w:rPr>
              <w:t xml:space="preserve">In a company, there should be a record of the money being withdrawn and a record on what it is spent. An absence of that record is in itself, suspicious. </w:t>
            </w:r>
            <w:r w:rsidRPr="000F513B">
              <w:rPr>
                <w:rFonts w:ascii="Arial" w:hAnsi="Arial" w:cs="Arial"/>
                <w:shd w:val="clear" w:color="auto" w:fill="FFFFFF"/>
              </w:rPr>
              <w:t xml:space="preserve">If manager withdraws £1,000 in cash to pay a bribe, but records that money as having been spent on dishwasher tablets, the investigator could request receipts for the tablets, or ask for an explanation as to why so much money was required to pay for such a large amount of innocuous items. </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t>However, in addition to financial records, in a bribery context, it may be just as important to obtain oral testimony about circumstances of an alleged bribe. The testimony of other employees who were present when the bribe was allegedly made may also be important. For example, was anyone asked to leave the room? This may be important corroborative evidence, and such evidence may amount an inference drawn by a judge as to what took place in that meeting.</w:t>
            </w:r>
          </w:p>
          <w:p w:rsidR="00E0073A" w:rsidRPr="000F513B"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sidRPr="000F513B">
              <w:rPr>
                <w:rFonts w:ascii="Arial" w:hAnsi="Arial" w:cs="Arial"/>
                <w:shd w:val="clear" w:color="auto" w:fill="FFFFFF"/>
              </w:rPr>
              <w:lastRenderedPageBreak/>
              <w:t xml:space="preserve">Other, non-financial documents may be important such as the content of tender proposals, or a suspicious absence of such proposals. </w:t>
            </w:r>
            <w:r>
              <w:rPr>
                <w:rFonts w:ascii="Arial" w:hAnsi="Arial" w:cs="Arial"/>
                <w:shd w:val="clear" w:color="auto" w:fill="FFFFFF"/>
              </w:rPr>
              <w:t xml:space="preserve">Has CCTV recorded any payments being made? </w:t>
            </w:r>
            <w:r w:rsidRPr="000F513B">
              <w:rPr>
                <w:rFonts w:ascii="Arial" w:hAnsi="Arial" w:cs="Arial"/>
                <w:shd w:val="clear" w:color="auto" w:fill="FFFFFF"/>
              </w:rPr>
              <w:t xml:space="preserve">A search order could be obtained (if in the same jurisdiction) against the alleged recipient of the bribe. Do they still have the £1,000 in cash in their home? If not, are there records of what that money has been spent on? For example, do they have a new car, or is there evidence of their living beyond the means that their income provides? Photographic evidence may be important in this context. </w:t>
            </w:r>
          </w:p>
          <w:p w:rsidR="00E0073A" w:rsidRDefault="00E0073A" w:rsidP="00E0073A">
            <w:pPr>
              <w:spacing w:line="360" w:lineRule="auto"/>
              <w:jc w:val="both"/>
              <w:rPr>
                <w:rFonts w:ascii="Arial" w:hAnsi="Arial" w:cs="Arial"/>
                <w:shd w:val="clear" w:color="auto" w:fill="FFFFFF"/>
              </w:rPr>
            </w:pPr>
          </w:p>
          <w:p w:rsidR="00E0073A" w:rsidRDefault="00E0073A" w:rsidP="00E0073A">
            <w:pPr>
              <w:spacing w:line="360" w:lineRule="auto"/>
              <w:jc w:val="both"/>
              <w:rPr>
                <w:rFonts w:ascii="Arial" w:hAnsi="Arial" w:cs="Arial"/>
                <w:shd w:val="clear" w:color="auto" w:fill="FFFFFF"/>
              </w:rPr>
            </w:pPr>
            <w:r>
              <w:rPr>
                <w:rFonts w:ascii="Arial" w:hAnsi="Arial" w:cs="Arial"/>
                <w:shd w:val="clear" w:color="auto" w:fill="FFFFFF"/>
              </w:rPr>
              <w:t xml:space="preserve">There are various types of evidence that are common in financial crime investigations, but </w:t>
            </w:r>
            <w:proofErr w:type="gramStart"/>
            <w:r>
              <w:rPr>
                <w:rFonts w:ascii="Arial" w:hAnsi="Arial" w:cs="Arial"/>
                <w:shd w:val="clear" w:color="auto" w:fill="FFFFFF"/>
              </w:rPr>
              <w:t>the differ</w:t>
            </w:r>
            <w:proofErr w:type="gramEnd"/>
            <w:r>
              <w:rPr>
                <w:rFonts w:ascii="Arial" w:hAnsi="Arial" w:cs="Arial"/>
                <w:shd w:val="clear" w:color="auto" w:fill="FFFFFF"/>
              </w:rPr>
              <w:t xml:space="preserve"> depending on the type of crime. However, it appears that in financial crime, the common element is that it is important to secure the evidence that has most confidence to establish payments and the flow of funds, such as bank statements. </w:t>
            </w:r>
          </w:p>
          <w:p w:rsidR="00E0073A" w:rsidRPr="000F513B" w:rsidRDefault="00E0073A" w:rsidP="00E0073A">
            <w:pPr>
              <w:spacing w:line="360" w:lineRule="auto"/>
              <w:jc w:val="both"/>
              <w:rPr>
                <w:rFonts w:ascii="Arial" w:hAnsi="Arial" w:cs="Arial"/>
                <w:shd w:val="clear" w:color="auto" w:fill="FFFFFF"/>
              </w:rPr>
            </w:pPr>
          </w:p>
          <w:p w:rsidR="00E0073A" w:rsidRPr="000F513B" w:rsidRDefault="00E0073A" w:rsidP="00E0073A">
            <w:pPr>
              <w:spacing w:line="360" w:lineRule="auto"/>
              <w:jc w:val="both"/>
              <w:rPr>
                <w:rFonts w:ascii="Arial" w:hAnsi="Arial" w:cs="Arial"/>
                <w:b/>
                <w:u w:val="single"/>
                <w:shd w:val="clear" w:color="auto" w:fill="FFFFFF"/>
              </w:rPr>
            </w:pPr>
            <w:r w:rsidRPr="000F513B">
              <w:rPr>
                <w:rFonts w:ascii="Arial" w:hAnsi="Arial" w:cs="Arial"/>
                <w:b/>
                <w:u w:val="single"/>
                <w:shd w:val="clear" w:color="auto" w:fill="FFFFFF"/>
              </w:rPr>
              <w:t>Question 3</w:t>
            </w:r>
          </w:p>
          <w:p w:rsidR="00E0073A" w:rsidRDefault="00E0073A" w:rsidP="00E0073A">
            <w:pPr>
              <w:spacing w:line="360" w:lineRule="auto"/>
              <w:jc w:val="both"/>
              <w:rPr>
                <w:rFonts w:ascii="Arial" w:hAnsi="Arial" w:cs="Arial"/>
                <w:b/>
                <w:shd w:val="clear" w:color="auto" w:fill="FFFFFF"/>
              </w:rPr>
            </w:pPr>
            <w:r w:rsidRPr="000F513B">
              <w:rPr>
                <w:rFonts w:ascii="Arial" w:hAnsi="Arial" w:cs="Arial"/>
                <w:b/>
                <w:shd w:val="clear" w:color="auto" w:fill="FFFFFF"/>
              </w:rPr>
              <w:t xml:space="preserve">Evidence gathered in financial crime cases is different from the one gathered in non-financial crime cases. What is the basic difference in the composition of these two types of </w:t>
            </w:r>
            <w:proofErr w:type="gramStart"/>
            <w:r w:rsidRPr="000F513B">
              <w:rPr>
                <w:rFonts w:ascii="Arial" w:hAnsi="Arial" w:cs="Arial"/>
                <w:b/>
                <w:shd w:val="clear" w:color="auto" w:fill="FFFFFF"/>
              </w:rPr>
              <w:t>evidence.</w:t>
            </w:r>
            <w:proofErr w:type="gramEnd"/>
          </w:p>
          <w:p w:rsidR="00E0073A" w:rsidRPr="000F513B" w:rsidRDefault="00E0073A" w:rsidP="00E0073A">
            <w:pPr>
              <w:spacing w:line="360" w:lineRule="auto"/>
              <w:jc w:val="both"/>
              <w:rPr>
                <w:rFonts w:ascii="Arial" w:hAnsi="Arial" w:cs="Arial"/>
                <w:b/>
                <w:shd w:val="clear" w:color="auto" w:fill="FFFFFF"/>
              </w:rPr>
            </w:pPr>
          </w:p>
          <w:p w:rsidR="00E0073A" w:rsidRPr="000F513B" w:rsidRDefault="00E0073A" w:rsidP="00E0073A">
            <w:pPr>
              <w:autoSpaceDE w:val="0"/>
              <w:autoSpaceDN w:val="0"/>
              <w:adjustRightInd w:val="0"/>
              <w:spacing w:line="360" w:lineRule="auto"/>
              <w:jc w:val="both"/>
              <w:rPr>
                <w:rFonts w:ascii="Arial" w:hAnsi="Arial" w:cs="Arial"/>
                <w:i/>
                <w:shd w:val="clear" w:color="auto" w:fill="FFFFFF"/>
              </w:rPr>
            </w:pPr>
            <w:r w:rsidRPr="000F513B">
              <w:rPr>
                <w:rFonts w:ascii="Arial" w:hAnsi="Arial" w:cs="Arial"/>
                <w:shd w:val="clear" w:color="auto" w:fill="FFFFFF"/>
              </w:rPr>
              <w:t xml:space="preserve">The learning materials describes the difference between evidence gathered in financial crime cases and non-financial crime cases as follows: </w:t>
            </w:r>
            <w:r w:rsidRPr="000F513B">
              <w:rPr>
                <w:rFonts w:ascii="Arial" w:hAnsi="Arial" w:cs="Arial"/>
                <w:i/>
                <w:shd w:val="clear" w:color="auto" w:fill="FFFFFF"/>
              </w:rPr>
              <w:t>“The type of evidence is what differentiates financial crimes from non-financial crimes. In cases of murder or burglary, for example, evidence usually comprises fingerprints, weapons, and other physical or real objects. Sometimes, documentary proof and photographs are also considered important evidence but</w:t>
            </w:r>
            <w:bookmarkStart w:id="1" w:name="LASTCURSORPOSITION"/>
            <w:bookmarkEnd w:id="1"/>
            <w:r w:rsidRPr="000F513B">
              <w:rPr>
                <w:rFonts w:ascii="Arial" w:hAnsi="Arial" w:cs="Arial"/>
                <w:i/>
                <w:shd w:val="clear" w:color="auto" w:fill="FFFFFF"/>
              </w:rPr>
              <w:t xml:space="preserve"> these are relatively rare in non-financial crimes. Financial crimes, on the other hand, are highly document-based. Investigators are usually faced with volumes of documents, receipts, papers, etc. What is considered an unusually high volume of evidence for non-financial crimes is a very common volume for financial crimes.”</w:t>
            </w:r>
          </w:p>
          <w:p w:rsidR="00E0073A" w:rsidRPr="000F513B" w:rsidRDefault="00E0073A" w:rsidP="00E0073A">
            <w:pPr>
              <w:autoSpaceDE w:val="0"/>
              <w:autoSpaceDN w:val="0"/>
              <w:adjustRightInd w:val="0"/>
              <w:spacing w:line="360" w:lineRule="auto"/>
              <w:jc w:val="both"/>
              <w:rPr>
                <w:rFonts w:ascii="Arial" w:hAnsi="Arial" w:cs="Arial"/>
                <w:i/>
                <w:shd w:val="clear" w:color="auto" w:fill="FFFFFF"/>
              </w:rPr>
            </w:pPr>
          </w:p>
          <w:p w:rsidR="00E0073A" w:rsidRPr="000F513B" w:rsidRDefault="00E0073A" w:rsidP="00E0073A">
            <w:pPr>
              <w:autoSpaceDE w:val="0"/>
              <w:autoSpaceDN w:val="0"/>
              <w:adjustRightInd w:val="0"/>
              <w:spacing w:line="360" w:lineRule="auto"/>
              <w:jc w:val="both"/>
              <w:rPr>
                <w:rFonts w:ascii="Arial" w:hAnsi="Arial" w:cs="Arial"/>
                <w:shd w:val="clear" w:color="auto" w:fill="FFFFFF"/>
              </w:rPr>
            </w:pPr>
            <w:r w:rsidRPr="000F513B">
              <w:rPr>
                <w:rFonts w:ascii="Arial" w:hAnsi="Arial" w:cs="Arial"/>
                <w:shd w:val="clear" w:color="auto" w:fill="FFFFFF"/>
              </w:rPr>
              <w:t xml:space="preserve">There </w:t>
            </w:r>
            <w:r>
              <w:rPr>
                <w:rFonts w:ascii="Arial" w:hAnsi="Arial" w:cs="Arial"/>
                <w:shd w:val="clear" w:color="auto" w:fill="FFFFFF"/>
              </w:rPr>
              <w:t xml:space="preserve">are </w:t>
            </w:r>
            <w:r w:rsidRPr="000F513B">
              <w:rPr>
                <w:rFonts w:ascii="Arial" w:hAnsi="Arial" w:cs="Arial"/>
                <w:shd w:val="clear" w:color="auto" w:fill="FFFFFF"/>
              </w:rPr>
              <w:t>obviously different categories of evidence. Testimonial evidence will likely be important in both fin</w:t>
            </w:r>
            <w:r>
              <w:rPr>
                <w:rFonts w:ascii="Arial" w:hAnsi="Arial" w:cs="Arial"/>
                <w:shd w:val="clear" w:color="auto" w:fill="FFFFFF"/>
              </w:rPr>
              <w:t xml:space="preserve">ancial and non-financial cases but the </w:t>
            </w:r>
            <w:r w:rsidRPr="000F513B">
              <w:rPr>
                <w:rFonts w:ascii="Arial" w:hAnsi="Arial" w:cs="Arial"/>
                <w:shd w:val="clear" w:color="auto" w:fill="FFFFFF"/>
              </w:rPr>
              <w:t xml:space="preserve">amount of real evidence and documentary evidence will differ depending on the case. There is no doubt that there will </w:t>
            </w:r>
            <w:r>
              <w:rPr>
                <w:rFonts w:ascii="Arial" w:hAnsi="Arial" w:cs="Arial"/>
                <w:shd w:val="clear" w:color="auto" w:fill="FFFFFF"/>
              </w:rPr>
              <w:t>often</w:t>
            </w:r>
            <w:r w:rsidRPr="000F513B">
              <w:rPr>
                <w:rFonts w:ascii="Arial" w:hAnsi="Arial" w:cs="Arial"/>
                <w:shd w:val="clear" w:color="auto" w:fill="FFFFFF"/>
              </w:rPr>
              <w:t xml:space="preserve"> be a large amount of documents produced when a financial crime is committed. But not always. For example, single act of bribery may not create much documentation at all. However, in almost all financial crimes, at least some form of document will be created. For example, during this payment of a one off bribe, the only documentation created may be an entry into a bank statement recording the withdrawal of cash</w:t>
            </w:r>
            <w:r>
              <w:rPr>
                <w:rFonts w:ascii="Arial" w:hAnsi="Arial" w:cs="Arial"/>
                <w:shd w:val="clear" w:color="auto" w:fill="FFFFFF"/>
              </w:rPr>
              <w:t xml:space="preserve"> to pay the bribe</w:t>
            </w:r>
            <w:r w:rsidRPr="000F513B">
              <w:rPr>
                <w:rFonts w:ascii="Arial" w:hAnsi="Arial" w:cs="Arial"/>
                <w:shd w:val="clear" w:color="auto" w:fill="FFFFFF"/>
              </w:rPr>
              <w:t xml:space="preserve">. But it still </w:t>
            </w:r>
            <w:r w:rsidRPr="000F513B">
              <w:rPr>
                <w:rFonts w:ascii="Arial" w:hAnsi="Arial" w:cs="Arial"/>
                <w:shd w:val="clear" w:color="auto" w:fill="FFFFFF"/>
              </w:rPr>
              <w:lastRenderedPageBreak/>
              <w:t xml:space="preserve">creates a record of the actual event. </w:t>
            </w:r>
            <w:r>
              <w:rPr>
                <w:rFonts w:ascii="Arial" w:hAnsi="Arial" w:cs="Arial"/>
                <w:shd w:val="clear" w:color="auto" w:fill="FFFFFF"/>
              </w:rPr>
              <w:t>C</w:t>
            </w:r>
            <w:r w:rsidRPr="000F513B">
              <w:rPr>
                <w:rFonts w:ascii="Arial" w:hAnsi="Arial" w:cs="Arial"/>
                <w:shd w:val="clear" w:color="auto" w:fill="FFFFFF"/>
              </w:rPr>
              <w:t>onversely, the commission of a murder (or non-financial crime) may not create any immediate documentary record</w:t>
            </w:r>
            <w:r>
              <w:rPr>
                <w:rFonts w:ascii="Arial" w:hAnsi="Arial" w:cs="Arial"/>
                <w:shd w:val="clear" w:color="auto" w:fill="FFFFFF"/>
              </w:rPr>
              <w:t xml:space="preserve"> (unless perhaps it is captured on CCTV)</w:t>
            </w:r>
            <w:r w:rsidRPr="000F513B">
              <w:rPr>
                <w:rFonts w:ascii="Arial" w:hAnsi="Arial" w:cs="Arial"/>
                <w:shd w:val="clear" w:color="auto" w:fill="FFFFFF"/>
              </w:rPr>
              <w:t xml:space="preserve">.  </w:t>
            </w:r>
          </w:p>
          <w:p w:rsidR="00E0073A" w:rsidRPr="000F513B" w:rsidRDefault="00E0073A" w:rsidP="00E0073A">
            <w:pPr>
              <w:autoSpaceDE w:val="0"/>
              <w:autoSpaceDN w:val="0"/>
              <w:adjustRightInd w:val="0"/>
              <w:spacing w:line="360" w:lineRule="auto"/>
              <w:jc w:val="both"/>
              <w:rPr>
                <w:rFonts w:ascii="Arial" w:hAnsi="Arial" w:cs="Arial"/>
                <w:i/>
                <w:shd w:val="clear" w:color="auto" w:fill="FFFFFF"/>
              </w:rPr>
            </w:pPr>
          </w:p>
          <w:p w:rsidR="00E0073A" w:rsidRPr="000F513B" w:rsidRDefault="00E0073A" w:rsidP="00E0073A">
            <w:pPr>
              <w:autoSpaceDE w:val="0"/>
              <w:autoSpaceDN w:val="0"/>
              <w:adjustRightInd w:val="0"/>
              <w:spacing w:line="360" w:lineRule="auto"/>
              <w:jc w:val="both"/>
              <w:rPr>
                <w:rFonts w:ascii="Arial" w:hAnsi="Arial" w:cs="Arial"/>
                <w:shd w:val="clear" w:color="auto" w:fill="FFFFFF"/>
              </w:rPr>
            </w:pPr>
            <w:r w:rsidRPr="000F513B">
              <w:rPr>
                <w:rFonts w:ascii="Arial" w:hAnsi="Arial" w:cs="Arial"/>
                <w:shd w:val="clear" w:color="auto" w:fill="FFFFFF"/>
              </w:rPr>
              <w:t xml:space="preserve">That said, I disagree with the premise that non-financial crime involves the “relatively rare” use of documentary proof. Taking the definition of a document in CPR 31.4 as being </w:t>
            </w:r>
            <w:r w:rsidRPr="000F513B">
              <w:rPr>
                <w:rFonts w:ascii="Arial" w:hAnsi="Arial" w:cs="Arial"/>
                <w:i/>
                <w:shd w:val="clear" w:color="auto" w:fill="FFFFFF"/>
              </w:rPr>
              <w:t>“</w:t>
            </w:r>
            <w:r w:rsidRPr="000F513B">
              <w:rPr>
                <w:rFonts w:ascii="Arial" w:hAnsi="Arial" w:cs="Arial"/>
                <w:shd w:val="clear" w:color="auto" w:fill="FFFFFF"/>
              </w:rPr>
              <w:t>“‘</w:t>
            </w:r>
            <w:r w:rsidRPr="000F513B">
              <w:rPr>
                <w:rFonts w:ascii="Arial" w:hAnsi="Arial" w:cs="Arial"/>
                <w:i/>
                <w:shd w:val="clear" w:color="auto" w:fill="FFFFFF"/>
              </w:rPr>
              <w:t>anything in which information of any description is recorded</w:t>
            </w:r>
            <w:r w:rsidRPr="000F513B">
              <w:rPr>
                <w:rFonts w:ascii="Arial" w:hAnsi="Arial" w:cs="Arial"/>
                <w:shd w:val="clear" w:color="auto" w:fill="FFFFFF"/>
              </w:rPr>
              <w:t xml:space="preserve">”, one can immediately see that documents are very important in non-financial crime. For example, receipts for the purchase of a weapon, CCTV footage may link the suspect to the scene. Telephone records, employment records and bank statements may link the suspect to the victim and provide valuable evidence as to </w:t>
            </w:r>
            <w:proofErr w:type="spellStart"/>
            <w:r w:rsidRPr="000F513B">
              <w:rPr>
                <w:rFonts w:ascii="Arial" w:hAnsi="Arial" w:cs="Arial"/>
                <w:i/>
                <w:shd w:val="clear" w:color="auto" w:fill="FFFFFF"/>
              </w:rPr>
              <w:t>mens</w:t>
            </w:r>
            <w:proofErr w:type="spellEnd"/>
            <w:r w:rsidRPr="000F513B">
              <w:rPr>
                <w:rFonts w:ascii="Arial" w:hAnsi="Arial" w:cs="Arial"/>
                <w:i/>
                <w:shd w:val="clear" w:color="auto" w:fill="FFFFFF"/>
              </w:rPr>
              <w:t xml:space="preserve"> rea. </w:t>
            </w:r>
            <w:r w:rsidRPr="000F513B">
              <w:rPr>
                <w:rFonts w:ascii="Arial" w:hAnsi="Arial" w:cs="Arial"/>
                <w:shd w:val="clear" w:color="auto" w:fill="FFFFFF"/>
              </w:rPr>
              <w:t>Depending on the motive, all the evidence that is relevant in a financial crime investigation could easily become relevant in a non-financial c</w:t>
            </w:r>
            <w:r>
              <w:rPr>
                <w:rFonts w:ascii="Arial" w:hAnsi="Arial" w:cs="Arial"/>
                <w:shd w:val="clear" w:color="auto" w:fill="FFFFFF"/>
              </w:rPr>
              <w:t>rime investigation. T</w:t>
            </w:r>
            <w:r w:rsidRPr="000F513B">
              <w:rPr>
                <w:rFonts w:ascii="Arial" w:hAnsi="Arial" w:cs="Arial"/>
                <w:shd w:val="clear" w:color="auto" w:fill="FFFFFF"/>
              </w:rPr>
              <w:t xml:space="preserve">here are many instances where murder has been committed for financial gain. </w:t>
            </w:r>
            <w:r>
              <w:rPr>
                <w:rFonts w:ascii="Arial" w:hAnsi="Arial" w:cs="Arial"/>
                <w:shd w:val="clear" w:color="auto" w:fill="FFFFFF"/>
              </w:rPr>
              <w:t>One example is</w:t>
            </w:r>
            <w:r w:rsidRPr="000F513B">
              <w:rPr>
                <w:rFonts w:ascii="Arial" w:hAnsi="Arial" w:cs="Arial"/>
                <w:shd w:val="clear" w:color="auto" w:fill="FFFFFF"/>
              </w:rPr>
              <w:t xml:space="preserve"> the case of David </w:t>
            </w:r>
            <w:proofErr w:type="spellStart"/>
            <w:r w:rsidRPr="000F513B">
              <w:rPr>
                <w:rFonts w:ascii="Arial" w:hAnsi="Arial" w:cs="Arial"/>
                <w:shd w:val="clear" w:color="auto" w:fill="FFFFFF"/>
              </w:rPr>
              <w:t>Jeffs</w:t>
            </w:r>
            <w:proofErr w:type="spellEnd"/>
            <w:r w:rsidRPr="000F513B">
              <w:rPr>
                <w:rFonts w:ascii="Arial" w:hAnsi="Arial" w:cs="Arial"/>
                <w:shd w:val="clear" w:color="auto" w:fill="FFFFFF"/>
              </w:rPr>
              <w:t xml:space="preserve">, a financial adviser who murdered a client and defrauded him of £343,000. </w:t>
            </w:r>
            <w:r w:rsidRPr="000F513B">
              <w:rPr>
                <w:rFonts w:ascii="Arial" w:hAnsi="Arial" w:cs="Arial"/>
                <w:i/>
                <w:shd w:val="clear" w:color="auto" w:fill="FFFFFF"/>
              </w:rPr>
              <w:t>“</w:t>
            </w:r>
            <w:proofErr w:type="spellStart"/>
            <w:r w:rsidRPr="000F513B">
              <w:rPr>
                <w:rFonts w:ascii="Arial" w:hAnsi="Arial" w:cs="Arial"/>
                <w:i/>
                <w:shd w:val="clear" w:color="auto" w:fill="FFFFFF"/>
              </w:rPr>
              <w:t>Jeffs</w:t>
            </w:r>
            <w:proofErr w:type="spellEnd"/>
            <w:r w:rsidRPr="000F513B">
              <w:rPr>
                <w:rFonts w:ascii="Arial" w:hAnsi="Arial" w:cs="Arial"/>
                <w:i/>
                <w:shd w:val="clear" w:color="auto" w:fill="FFFFFF"/>
              </w:rPr>
              <w:t xml:space="preserve"> exploited Mr </w:t>
            </w:r>
            <w:proofErr w:type="spellStart"/>
            <w:r w:rsidRPr="000F513B">
              <w:rPr>
                <w:rFonts w:ascii="Arial" w:hAnsi="Arial" w:cs="Arial"/>
                <w:i/>
                <w:shd w:val="clear" w:color="auto" w:fill="FFFFFF"/>
              </w:rPr>
              <w:t>Troyan’s</w:t>
            </w:r>
            <w:proofErr w:type="spellEnd"/>
            <w:r w:rsidRPr="000F513B">
              <w:rPr>
                <w:rFonts w:ascii="Arial" w:hAnsi="Arial" w:cs="Arial"/>
                <w:i/>
                <w:shd w:val="clear" w:color="auto" w:fill="FFFFFF"/>
              </w:rPr>
              <w:t xml:space="preserve"> lack of financial knowledge to steal £343,000 which he spent on sports cars, luxury hotels, exotic holidays and hospitality tickets to sporting events. When he </w:t>
            </w:r>
            <w:proofErr w:type="spellStart"/>
            <w:r w:rsidRPr="000F513B">
              <w:rPr>
                <w:rFonts w:ascii="Arial" w:hAnsi="Arial" w:cs="Arial"/>
                <w:i/>
                <w:shd w:val="clear" w:color="auto" w:fill="FFFFFF"/>
              </w:rPr>
              <w:t>realised</w:t>
            </w:r>
            <w:proofErr w:type="spellEnd"/>
            <w:r w:rsidRPr="000F513B">
              <w:rPr>
                <w:rFonts w:ascii="Arial" w:hAnsi="Arial" w:cs="Arial"/>
                <w:i/>
                <w:shd w:val="clear" w:color="auto" w:fill="FFFFFF"/>
              </w:rPr>
              <w:t xml:space="preserve"> his dishonesty was about to be exposed </w:t>
            </w:r>
            <w:proofErr w:type="spellStart"/>
            <w:r w:rsidRPr="000F513B">
              <w:rPr>
                <w:rFonts w:ascii="Arial" w:hAnsi="Arial" w:cs="Arial"/>
                <w:i/>
                <w:shd w:val="clear" w:color="auto" w:fill="FFFFFF"/>
              </w:rPr>
              <w:t>Jeffs</w:t>
            </w:r>
            <w:proofErr w:type="spellEnd"/>
            <w:r w:rsidRPr="000F513B">
              <w:rPr>
                <w:rFonts w:ascii="Arial" w:hAnsi="Arial" w:cs="Arial"/>
                <w:i/>
                <w:shd w:val="clear" w:color="auto" w:fill="FFFFFF"/>
              </w:rPr>
              <w:t xml:space="preserve"> murdered Mr </w:t>
            </w:r>
            <w:proofErr w:type="spellStart"/>
            <w:r w:rsidRPr="000F513B">
              <w:rPr>
                <w:rFonts w:ascii="Arial" w:hAnsi="Arial" w:cs="Arial"/>
                <w:i/>
                <w:shd w:val="clear" w:color="auto" w:fill="FFFFFF"/>
              </w:rPr>
              <w:t>Troyan</w:t>
            </w:r>
            <w:proofErr w:type="spellEnd"/>
            <w:r w:rsidRPr="000F513B">
              <w:rPr>
                <w:rFonts w:ascii="Arial" w:hAnsi="Arial" w:cs="Arial"/>
                <w:i/>
                <w:shd w:val="clear" w:color="auto" w:fill="FFFFFF"/>
              </w:rPr>
              <w:t xml:space="preserve"> and created an elaborate web of lies to account for his spending and to cover up the murder.”</w:t>
            </w:r>
            <w:r w:rsidRPr="000F513B">
              <w:rPr>
                <w:rStyle w:val="FootnoteReference"/>
                <w:rFonts w:ascii="Arial" w:hAnsi="Arial" w:cs="Arial"/>
                <w:i/>
                <w:shd w:val="clear" w:color="auto" w:fill="FFFFFF"/>
              </w:rPr>
              <w:footnoteReference w:id="8"/>
            </w:r>
            <w:r w:rsidRPr="000F513B">
              <w:rPr>
                <w:rFonts w:ascii="Arial" w:hAnsi="Arial" w:cs="Arial"/>
                <w:i/>
                <w:shd w:val="clear" w:color="auto" w:fill="FFFFFF"/>
              </w:rPr>
              <w:t xml:space="preserve"> </w:t>
            </w:r>
            <w:r w:rsidRPr="000F513B">
              <w:rPr>
                <w:rFonts w:ascii="Arial" w:hAnsi="Arial" w:cs="Arial"/>
                <w:shd w:val="clear" w:color="auto" w:fill="FFFFFF"/>
              </w:rPr>
              <w:t xml:space="preserve">This is one example; it was not difficult to find. In this case, there would have been a great deal of documentary evidence required to prove the motive for the murder and to establish the misappropriation of Mr </w:t>
            </w:r>
            <w:proofErr w:type="spellStart"/>
            <w:r w:rsidRPr="000F513B">
              <w:rPr>
                <w:rFonts w:ascii="Arial" w:hAnsi="Arial" w:cs="Arial"/>
                <w:shd w:val="clear" w:color="auto" w:fill="FFFFFF"/>
              </w:rPr>
              <w:t>Troyans</w:t>
            </w:r>
            <w:proofErr w:type="spellEnd"/>
            <w:r w:rsidRPr="000F513B">
              <w:rPr>
                <w:rFonts w:ascii="Arial" w:hAnsi="Arial" w:cs="Arial"/>
                <w:shd w:val="clear" w:color="auto" w:fill="FFFFFF"/>
              </w:rPr>
              <w:t xml:space="preserve"> funds by Mr </w:t>
            </w:r>
            <w:proofErr w:type="spellStart"/>
            <w:r w:rsidRPr="000F513B">
              <w:rPr>
                <w:rFonts w:ascii="Arial" w:hAnsi="Arial" w:cs="Arial"/>
                <w:shd w:val="clear" w:color="auto" w:fill="FFFFFF"/>
              </w:rPr>
              <w:t>Jeffs</w:t>
            </w:r>
            <w:proofErr w:type="spellEnd"/>
            <w:r w:rsidRPr="000F513B">
              <w:rPr>
                <w:rFonts w:ascii="Arial" w:hAnsi="Arial" w:cs="Arial"/>
                <w:shd w:val="clear" w:color="auto" w:fill="FFFFFF"/>
              </w:rPr>
              <w:t xml:space="preserve">.  That will have included; bank statements, receipts and invoices for the goods and services purchased with Mr </w:t>
            </w:r>
            <w:proofErr w:type="spellStart"/>
            <w:r w:rsidRPr="000F513B">
              <w:rPr>
                <w:rFonts w:ascii="Arial" w:hAnsi="Arial" w:cs="Arial"/>
                <w:shd w:val="clear" w:color="auto" w:fill="FFFFFF"/>
              </w:rPr>
              <w:t>Troyans</w:t>
            </w:r>
            <w:proofErr w:type="spellEnd"/>
            <w:r w:rsidRPr="000F513B">
              <w:rPr>
                <w:rFonts w:ascii="Arial" w:hAnsi="Arial" w:cs="Arial"/>
                <w:shd w:val="clear" w:color="auto" w:fill="FFFFFF"/>
              </w:rPr>
              <w:t xml:space="preserve"> cash, the retainer agreement between </w:t>
            </w:r>
            <w:proofErr w:type="spellStart"/>
            <w:r w:rsidRPr="000F513B">
              <w:rPr>
                <w:rFonts w:ascii="Arial" w:hAnsi="Arial" w:cs="Arial"/>
                <w:shd w:val="clear" w:color="auto" w:fill="FFFFFF"/>
              </w:rPr>
              <w:t>Jeffs</w:t>
            </w:r>
            <w:proofErr w:type="spellEnd"/>
            <w:r w:rsidRPr="000F513B">
              <w:rPr>
                <w:rFonts w:ascii="Arial" w:hAnsi="Arial" w:cs="Arial"/>
                <w:shd w:val="clear" w:color="auto" w:fill="FFFFFF"/>
              </w:rPr>
              <w:t xml:space="preserve">’ company and Mr </w:t>
            </w:r>
            <w:proofErr w:type="spellStart"/>
            <w:r w:rsidRPr="000F513B">
              <w:rPr>
                <w:rFonts w:ascii="Arial" w:hAnsi="Arial" w:cs="Arial"/>
                <w:shd w:val="clear" w:color="auto" w:fill="FFFFFF"/>
              </w:rPr>
              <w:t>Troyans</w:t>
            </w:r>
            <w:proofErr w:type="spellEnd"/>
            <w:r w:rsidRPr="000F513B">
              <w:rPr>
                <w:rFonts w:ascii="Arial" w:hAnsi="Arial" w:cs="Arial"/>
                <w:shd w:val="clear" w:color="auto" w:fill="FFFFFF"/>
              </w:rPr>
              <w:t xml:space="preserve">, communications between the two where Mr </w:t>
            </w:r>
            <w:proofErr w:type="spellStart"/>
            <w:r w:rsidRPr="000F513B">
              <w:rPr>
                <w:rFonts w:ascii="Arial" w:hAnsi="Arial" w:cs="Arial"/>
                <w:shd w:val="clear" w:color="auto" w:fill="FFFFFF"/>
              </w:rPr>
              <w:t>Troyans</w:t>
            </w:r>
            <w:proofErr w:type="spellEnd"/>
            <w:r w:rsidRPr="000F513B">
              <w:rPr>
                <w:rFonts w:ascii="Arial" w:hAnsi="Arial" w:cs="Arial"/>
                <w:shd w:val="clear" w:color="auto" w:fill="FFFFFF"/>
              </w:rPr>
              <w:t xml:space="preserve"> may have instructed Mr </w:t>
            </w:r>
            <w:proofErr w:type="spellStart"/>
            <w:r w:rsidRPr="000F513B">
              <w:rPr>
                <w:rFonts w:ascii="Arial" w:hAnsi="Arial" w:cs="Arial"/>
                <w:shd w:val="clear" w:color="auto" w:fill="FFFFFF"/>
              </w:rPr>
              <w:t>Jeffs</w:t>
            </w:r>
            <w:proofErr w:type="spellEnd"/>
            <w:r w:rsidRPr="000F513B">
              <w:rPr>
                <w:rFonts w:ascii="Arial" w:hAnsi="Arial" w:cs="Arial"/>
                <w:shd w:val="clear" w:color="auto" w:fill="FFFFFF"/>
              </w:rPr>
              <w:t xml:space="preserve"> and communications by Mr </w:t>
            </w:r>
            <w:proofErr w:type="spellStart"/>
            <w:r w:rsidRPr="000F513B">
              <w:rPr>
                <w:rFonts w:ascii="Arial" w:hAnsi="Arial" w:cs="Arial"/>
                <w:shd w:val="clear" w:color="auto" w:fill="FFFFFF"/>
              </w:rPr>
              <w:t>Jeffs</w:t>
            </w:r>
            <w:proofErr w:type="spellEnd"/>
            <w:r w:rsidRPr="000F513B">
              <w:rPr>
                <w:rFonts w:ascii="Arial" w:hAnsi="Arial" w:cs="Arial"/>
                <w:shd w:val="clear" w:color="auto" w:fill="FFFFFF"/>
              </w:rPr>
              <w:t xml:space="preserve"> to various third parties where he may have divulged what he was doing and the extent of his deception.</w:t>
            </w:r>
          </w:p>
          <w:p w:rsidR="00E0073A" w:rsidRPr="000F513B" w:rsidRDefault="00E0073A" w:rsidP="00E0073A">
            <w:pPr>
              <w:autoSpaceDE w:val="0"/>
              <w:autoSpaceDN w:val="0"/>
              <w:adjustRightInd w:val="0"/>
              <w:spacing w:line="360" w:lineRule="auto"/>
              <w:jc w:val="both"/>
              <w:rPr>
                <w:rFonts w:ascii="Arial" w:hAnsi="Arial" w:cs="Arial"/>
                <w:shd w:val="clear" w:color="auto" w:fill="FFFFFF"/>
              </w:rPr>
            </w:pPr>
          </w:p>
          <w:p w:rsidR="00E0073A" w:rsidRPr="000F513B" w:rsidRDefault="00E0073A" w:rsidP="00E0073A">
            <w:pPr>
              <w:autoSpaceDE w:val="0"/>
              <w:autoSpaceDN w:val="0"/>
              <w:adjustRightInd w:val="0"/>
              <w:spacing w:line="360" w:lineRule="auto"/>
              <w:jc w:val="both"/>
              <w:rPr>
                <w:rFonts w:ascii="Arial" w:hAnsi="Arial" w:cs="Arial"/>
                <w:shd w:val="clear" w:color="auto" w:fill="FFFFFF"/>
              </w:rPr>
            </w:pPr>
            <w:r w:rsidRPr="000F513B">
              <w:rPr>
                <w:rFonts w:ascii="Arial" w:hAnsi="Arial" w:cs="Arial"/>
                <w:shd w:val="clear" w:color="auto" w:fill="FFFFFF"/>
              </w:rPr>
              <w:t xml:space="preserve">There is also a great deal of physical evidence that can be used in financial crime trials, particularly where there is a cross border element. The student has experience where rubber stamps were created and used to forge a signature. Those stamps were adduced as evidence during the course of a civil trial. Fingerprints on a computer or hard copy files to show someone had accessed that computer or file. Forgery equipment could be used as evidence in financial crime cases. Items that have been purchased with the proceeds of the financial crime can also constitute physical evidence and be adduced in financial crime cases. </w:t>
            </w:r>
          </w:p>
          <w:p w:rsidR="00E0073A" w:rsidRPr="000F513B" w:rsidRDefault="00E0073A" w:rsidP="00E0073A">
            <w:pPr>
              <w:autoSpaceDE w:val="0"/>
              <w:autoSpaceDN w:val="0"/>
              <w:adjustRightInd w:val="0"/>
              <w:spacing w:line="360" w:lineRule="auto"/>
              <w:jc w:val="both"/>
              <w:rPr>
                <w:rFonts w:ascii="Arial" w:hAnsi="Arial" w:cs="Arial"/>
                <w:shd w:val="clear" w:color="auto" w:fill="FFFFFF"/>
              </w:rPr>
            </w:pPr>
          </w:p>
          <w:p w:rsidR="00CC2FB3" w:rsidRDefault="00E0073A" w:rsidP="00E0073A">
            <w:pPr>
              <w:autoSpaceDE w:val="0"/>
              <w:autoSpaceDN w:val="0"/>
              <w:adjustRightInd w:val="0"/>
              <w:spacing w:line="360" w:lineRule="auto"/>
              <w:jc w:val="both"/>
              <w:rPr>
                <w:b/>
              </w:rPr>
            </w:pPr>
            <w:r w:rsidRPr="000F513B">
              <w:rPr>
                <w:rFonts w:ascii="Arial" w:hAnsi="Arial" w:cs="Arial"/>
                <w:shd w:val="clear" w:color="auto" w:fill="FFFFFF"/>
              </w:rPr>
              <w:t xml:space="preserve">Whilst I agree generally, that evidence gathered in financial crime cases is different from the one gathered in non-financial crime cases, it is a </w:t>
            </w:r>
            <w:proofErr w:type="spellStart"/>
            <w:r w:rsidRPr="000F513B">
              <w:rPr>
                <w:rFonts w:ascii="Arial" w:hAnsi="Arial" w:cs="Arial"/>
                <w:shd w:val="clear" w:color="auto" w:fill="FFFFFF"/>
              </w:rPr>
              <w:t>generalisation</w:t>
            </w:r>
            <w:proofErr w:type="spellEnd"/>
            <w:r w:rsidRPr="000F513B">
              <w:rPr>
                <w:rFonts w:ascii="Arial" w:hAnsi="Arial" w:cs="Arial"/>
                <w:shd w:val="clear" w:color="auto" w:fill="FFFFFF"/>
              </w:rPr>
              <w:t xml:space="preserve"> that should be approached with caution and treated with </w:t>
            </w:r>
            <w:proofErr w:type="spellStart"/>
            <w:r w:rsidRPr="000F513B">
              <w:rPr>
                <w:rFonts w:ascii="Arial" w:hAnsi="Arial" w:cs="Arial"/>
                <w:shd w:val="clear" w:color="auto" w:fill="FFFFFF"/>
              </w:rPr>
              <w:t>scepticism</w:t>
            </w:r>
            <w:proofErr w:type="spellEnd"/>
            <w:r w:rsidRPr="000F513B">
              <w:rPr>
                <w:rFonts w:ascii="Arial" w:hAnsi="Arial" w:cs="Arial"/>
                <w:shd w:val="clear" w:color="auto" w:fill="FFFFFF"/>
              </w:rPr>
              <w:t xml:space="preserve"> by an</w:t>
            </w:r>
            <w:r>
              <w:rPr>
                <w:rFonts w:ascii="Arial" w:hAnsi="Arial" w:cs="Arial"/>
                <w:shd w:val="clear" w:color="auto" w:fill="FFFFFF"/>
              </w:rPr>
              <w:t>yone investigating a</w:t>
            </w:r>
            <w:r w:rsidRPr="000F513B">
              <w:rPr>
                <w:rFonts w:ascii="Arial" w:hAnsi="Arial" w:cs="Arial"/>
                <w:shd w:val="clear" w:color="auto" w:fill="FFFFFF"/>
              </w:rPr>
              <w:t xml:space="preserve"> financial or non-financial </w:t>
            </w:r>
            <w:proofErr w:type="gramStart"/>
            <w:r w:rsidRPr="000F513B">
              <w:rPr>
                <w:rFonts w:ascii="Arial" w:hAnsi="Arial" w:cs="Arial"/>
                <w:shd w:val="clear" w:color="auto" w:fill="FFFFFF"/>
              </w:rPr>
              <w:t>crime.</w:t>
            </w:r>
            <w:proofErr w:type="gramEnd"/>
            <w:r w:rsidRPr="000F513B">
              <w:rPr>
                <w:rFonts w:ascii="Arial" w:hAnsi="Arial" w:cs="Arial"/>
                <w:shd w:val="clear" w:color="auto" w:fill="FFFFFF"/>
              </w:rPr>
              <w:t xml:space="preserve"> The investigator should have an open mind about the type of evidence available, rather than pre-disposed conceptions about the type of evidence </w:t>
            </w:r>
            <w:r>
              <w:rPr>
                <w:rFonts w:ascii="Arial" w:hAnsi="Arial" w:cs="Arial"/>
                <w:shd w:val="clear" w:color="auto" w:fill="FFFFFF"/>
              </w:rPr>
              <w:t>available</w:t>
            </w:r>
            <w:r w:rsidRPr="000F513B">
              <w:rPr>
                <w:rFonts w:ascii="Arial" w:hAnsi="Arial" w:cs="Arial"/>
                <w:shd w:val="clear" w:color="auto" w:fill="FFFFFF"/>
              </w:rPr>
              <w:t xml:space="preserve"> </w:t>
            </w:r>
            <w:r>
              <w:rPr>
                <w:rFonts w:ascii="Arial" w:hAnsi="Arial" w:cs="Arial"/>
                <w:shd w:val="clear" w:color="auto" w:fill="FFFFFF"/>
              </w:rPr>
              <w:t>in a particular</w:t>
            </w:r>
            <w:r w:rsidRPr="000F513B">
              <w:rPr>
                <w:rFonts w:ascii="Arial" w:hAnsi="Arial" w:cs="Arial"/>
                <w:shd w:val="clear" w:color="auto" w:fill="FFFFFF"/>
              </w:rPr>
              <w:t xml:space="preserve"> type of crime that is being investigated.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75AB0" w:rsidRDefault="00375AB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6"/>
        <w:gridCol w:w="3941"/>
        <w:gridCol w:w="1238"/>
        <w:gridCol w:w="1601"/>
      </w:tblGrid>
      <w:tr w:rsidR="00405895" w:rsidRPr="00B0415E" w:rsidTr="00375AB0">
        <w:trPr>
          <w:trHeight w:val="992"/>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375AB0" w:rsidP="00A851DA">
            <w:pPr>
              <w:rPr>
                <w:rFonts w:cs="Bliss-Regular"/>
                <w:color w:val="000000"/>
              </w:rPr>
            </w:pPr>
            <w:r>
              <w:rPr>
                <w:noProof/>
              </w:rPr>
              <w:drawing>
                <wp:inline distT="0" distB="0" distL="0" distR="0" wp14:anchorId="603CF0C8" wp14:editId="1CEE1FB8">
                  <wp:extent cx="142875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428750" cy="495300"/>
                          </a:xfrm>
                          <a:prstGeom prst="rect">
                            <a:avLst/>
                          </a:prstGeom>
                        </pic:spPr>
                      </pic:pic>
                    </a:graphicData>
                  </a:graphic>
                </wp:inline>
              </w:drawing>
            </w:r>
          </w:p>
          <w:p w:rsidR="00375AB0" w:rsidRDefault="00375AB0" w:rsidP="00A851DA">
            <w:pPr>
              <w:rPr>
                <w:rFonts w:cs="Bliss-Regular"/>
                <w:color w:val="000000"/>
              </w:rPr>
            </w:pPr>
          </w:p>
          <w:p w:rsidR="00375AB0" w:rsidRPr="00B0415E" w:rsidRDefault="00375AB0"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073A" w:rsidP="00E0073A">
            <w:pPr>
              <w:rPr>
                <w:rFonts w:cs="Bliss-Regular"/>
                <w:color w:val="000000"/>
              </w:rPr>
            </w:pPr>
            <w:r>
              <w:rPr>
                <w:rFonts w:cs="Bliss-Regular"/>
                <w:color w:val="000000"/>
              </w:rPr>
              <w:t>03/01/2018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371B14" w:rsidRDefault="00371B14" w:rsidP="00503D7E">
            <w:pPr>
              <w:rPr>
                <w:b/>
                <w:color w:val="002060"/>
              </w:rPr>
            </w:pPr>
          </w:p>
          <w:p w:rsidR="00371B14" w:rsidRDefault="00371B14" w:rsidP="00503D7E">
            <w:pPr>
              <w:rPr>
                <w:b/>
                <w:color w:val="002060"/>
              </w:rPr>
            </w:pPr>
          </w:p>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384" w:rsidRDefault="00E06384" w:rsidP="00CB4D0A">
      <w:pPr>
        <w:spacing w:after="0" w:line="240" w:lineRule="auto"/>
      </w:pPr>
      <w:r>
        <w:separator/>
      </w:r>
    </w:p>
  </w:endnote>
  <w:endnote w:type="continuationSeparator" w:id="0">
    <w:p w:rsidR="00E06384" w:rsidRDefault="00E063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384" w:rsidRDefault="00E06384" w:rsidP="00CB4D0A">
      <w:pPr>
        <w:spacing w:after="0" w:line="240" w:lineRule="auto"/>
      </w:pPr>
      <w:r>
        <w:separator/>
      </w:r>
    </w:p>
  </w:footnote>
  <w:footnote w:type="continuationSeparator" w:id="0">
    <w:p w:rsidR="00E06384" w:rsidRDefault="00E06384" w:rsidP="00CB4D0A">
      <w:pPr>
        <w:spacing w:after="0" w:line="240" w:lineRule="auto"/>
      </w:pPr>
      <w:r>
        <w:continuationSeparator/>
      </w:r>
    </w:p>
  </w:footnote>
  <w:footnote w:id="1">
    <w:p w:rsidR="00E0073A" w:rsidRDefault="00E0073A" w:rsidP="00E0073A">
      <w:pPr>
        <w:pStyle w:val="FootnoteText"/>
      </w:pPr>
      <w:r>
        <w:rPr>
          <w:rStyle w:val="FootnoteReference"/>
        </w:rPr>
        <w:footnoteRef/>
      </w:r>
      <w:r>
        <w:t xml:space="preserve"> </w:t>
      </w:r>
      <w:hyperlink r:id="rId1" w:history="1">
        <w:r w:rsidRPr="000274D5">
          <w:rPr>
            <w:rStyle w:val="Hyperlink"/>
          </w:rPr>
          <w:t>http://www.rotlaw.com/legal-library/what-is-the-best-evidence-rule/</w:t>
        </w:r>
      </w:hyperlink>
      <w:r>
        <w:t xml:space="preserve"> </w:t>
      </w:r>
    </w:p>
  </w:footnote>
  <w:footnote w:id="2">
    <w:p w:rsidR="00E0073A" w:rsidRDefault="00E0073A" w:rsidP="00E0073A">
      <w:pPr>
        <w:pStyle w:val="FootnoteText"/>
      </w:pPr>
      <w:r>
        <w:rPr>
          <w:rStyle w:val="FootnoteReference"/>
        </w:rPr>
        <w:footnoteRef/>
      </w:r>
      <w:r>
        <w:t xml:space="preserve"> Page 18</w:t>
      </w:r>
    </w:p>
  </w:footnote>
  <w:footnote w:id="3">
    <w:p w:rsidR="00E0073A" w:rsidRDefault="00E0073A" w:rsidP="00E0073A">
      <w:pPr>
        <w:pStyle w:val="FootnoteText"/>
      </w:pPr>
      <w:r>
        <w:rPr>
          <w:rStyle w:val="FootnoteReference"/>
        </w:rPr>
        <w:footnoteRef/>
      </w:r>
      <w:r>
        <w:t xml:space="preserve"> </w:t>
      </w:r>
      <w:proofErr w:type="spellStart"/>
      <w:r>
        <w:t>Edwards.G</w:t>
      </w:r>
      <w:proofErr w:type="spellEnd"/>
      <w:r>
        <w:t xml:space="preserve">., </w:t>
      </w:r>
      <w:r>
        <w:rPr>
          <w:i/>
        </w:rPr>
        <w:t xml:space="preserve">‘Investigating in the Cloud,’  </w:t>
      </w:r>
      <w:r>
        <w:t>ACFE presentation notes (2015)</w:t>
      </w:r>
    </w:p>
  </w:footnote>
  <w:footnote w:id="4">
    <w:p w:rsidR="00E0073A" w:rsidRDefault="00E0073A" w:rsidP="00E0073A">
      <w:pPr>
        <w:pStyle w:val="FootnoteText"/>
      </w:pPr>
      <w:r>
        <w:rPr>
          <w:rStyle w:val="FootnoteReference"/>
        </w:rPr>
        <w:footnoteRef/>
      </w:r>
      <w:r>
        <w:t xml:space="preserve"> </w:t>
      </w:r>
      <w:r w:rsidRPr="00E81317">
        <w:rPr>
          <w:rFonts w:ascii="Arial" w:hAnsi="Arial" w:cs="Arial"/>
        </w:rPr>
        <w:t>[2006] EWHC 521 (</w:t>
      </w:r>
      <w:proofErr w:type="spellStart"/>
      <w:r w:rsidRPr="00E81317">
        <w:rPr>
          <w:rFonts w:ascii="Arial" w:hAnsi="Arial" w:cs="Arial"/>
        </w:rPr>
        <w:t>Ch</w:t>
      </w:r>
      <w:proofErr w:type="spellEnd"/>
      <w:r w:rsidRPr="00E81317">
        <w:rPr>
          <w:rFonts w:ascii="Arial" w:hAnsi="Arial" w:cs="Arial"/>
        </w:rPr>
        <w:t>)</w:t>
      </w:r>
    </w:p>
  </w:footnote>
  <w:footnote w:id="5">
    <w:p w:rsidR="00E0073A" w:rsidRPr="000A54D7" w:rsidRDefault="00E0073A" w:rsidP="00E0073A">
      <w:pPr>
        <w:pStyle w:val="FootnoteText"/>
      </w:pPr>
      <w:r>
        <w:rPr>
          <w:rStyle w:val="FootnoteReference"/>
        </w:rPr>
        <w:footnoteRef/>
      </w:r>
      <w:r>
        <w:t xml:space="preserve"> King. G. </w:t>
      </w:r>
      <w:r>
        <w:rPr>
          <w:i/>
        </w:rPr>
        <w:t>“Forensics Plan Guide” “Global Information Assurance Certification Paper”</w:t>
      </w:r>
      <w:r>
        <w:t xml:space="preserve"> SANS Institute (June 2006) page 10</w:t>
      </w:r>
    </w:p>
  </w:footnote>
  <w:footnote w:id="6">
    <w:p w:rsidR="00E0073A" w:rsidRDefault="00E0073A" w:rsidP="00E0073A">
      <w:pPr>
        <w:pStyle w:val="FootnoteText"/>
      </w:pPr>
      <w:r>
        <w:rPr>
          <w:rStyle w:val="FootnoteReference"/>
        </w:rPr>
        <w:footnoteRef/>
      </w:r>
      <w:r>
        <w:t xml:space="preserve"> Page 5</w:t>
      </w:r>
    </w:p>
  </w:footnote>
  <w:footnote w:id="7">
    <w:p w:rsidR="00E0073A" w:rsidRPr="00D342F6" w:rsidRDefault="00E0073A" w:rsidP="00E0073A">
      <w:pPr>
        <w:spacing w:line="360" w:lineRule="auto"/>
        <w:jc w:val="both"/>
        <w:rPr>
          <w:rFonts w:ascii="Arial" w:hAnsi="Arial" w:cs="Arial"/>
          <w:b/>
        </w:rPr>
      </w:pPr>
      <w:r>
        <w:rPr>
          <w:rStyle w:val="FootnoteReference"/>
        </w:rPr>
        <w:footnoteRef/>
      </w:r>
      <w:r>
        <w:t xml:space="preserve"> See answer to question (ii) “</w:t>
      </w:r>
      <w:r w:rsidRPr="00D342F6">
        <w:t>Why is it important to keep the collected evidence in a well-organised manner?</w:t>
      </w:r>
      <w:r>
        <w:t>”</w:t>
      </w:r>
    </w:p>
    <w:p w:rsidR="00E0073A" w:rsidRDefault="00E0073A" w:rsidP="00E0073A">
      <w:pPr>
        <w:pStyle w:val="FootnoteText"/>
      </w:pPr>
    </w:p>
  </w:footnote>
  <w:footnote w:id="8">
    <w:p w:rsidR="00E0073A" w:rsidRDefault="00E0073A" w:rsidP="00E0073A">
      <w:pPr>
        <w:pStyle w:val="FootnoteText"/>
      </w:pPr>
      <w:r>
        <w:rPr>
          <w:rStyle w:val="FootnoteReference"/>
        </w:rPr>
        <w:footnoteRef/>
      </w:r>
      <w:r>
        <w:t xml:space="preserve"> </w:t>
      </w:r>
      <w:hyperlink r:id="rId2" w:history="1">
        <w:r w:rsidRPr="00C404DC">
          <w:rPr>
            <w:rStyle w:val="Hyperlink"/>
          </w:rPr>
          <w:t>http://citywire.co.uk/new-model-adviser/news/adviser-guilty-of-murdering-client-and-343k-fraud/a721702</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1F38"/>
    <w:multiLevelType w:val="hybridMultilevel"/>
    <w:tmpl w:val="83B2C2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40BF5"/>
    <w:multiLevelType w:val="hybridMultilevel"/>
    <w:tmpl w:val="FFB09D7C"/>
    <w:lvl w:ilvl="0" w:tplc="547814E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F33353"/>
    <w:multiLevelType w:val="hybridMultilevel"/>
    <w:tmpl w:val="C7AEDC28"/>
    <w:lvl w:ilvl="0" w:tplc="D68674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175291"/>
    <w:multiLevelType w:val="hybridMultilevel"/>
    <w:tmpl w:val="581EDB3E"/>
    <w:lvl w:ilvl="0" w:tplc="DE3093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0D579C"/>
    <w:multiLevelType w:val="hybridMultilevel"/>
    <w:tmpl w:val="7EB457FE"/>
    <w:lvl w:ilvl="0" w:tplc="3CD4D9E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C076C98"/>
    <w:multiLevelType w:val="hybridMultilevel"/>
    <w:tmpl w:val="BE36BC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F351F1"/>
    <w:multiLevelType w:val="hybridMultilevel"/>
    <w:tmpl w:val="981CFD1A"/>
    <w:lvl w:ilvl="0" w:tplc="E8CC5E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361E0A"/>
    <w:multiLevelType w:val="hybridMultilevel"/>
    <w:tmpl w:val="32BEF1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B7323"/>
    <w:multiLevelType w:val="hybridMultilevel"/>
    <w:tmpl w:val="0040D212"/>
    <w:lvl w:ilvl="0" w:tplc="442A8D38">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DF7955"/>
    <w:multiLevelType w:val="hybridMultilevel"/>
    <w:tmpl w:val="E202F3A6"/>
    <w:lvl w:ilvl="0" w:tplc="BDBC54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3C3E57"/>
    <w:multiLevelType w:val="hybridMultilevel"/>
    <w:tmpl w:val="2FF680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A521D0"/>
    <w:multiLevelType w:val="hybridMultilevel"/>
    <w:tmpl w:val="9B12A7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587973"/>
    <w:multiLevelType w:val="hybridMultilevel"/>
    <w:tmpl w:val="614E8B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8C5884"/>
    <w:multiLevelType w:val="hybridMultilevel"/>
    <w:tmpl w:val="BC520C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A83598"/>
    <w:multiLevelType w:val="hybridMultilevel"/>
    <w:tmpl w:val="68701BEE"/>
    <w:lvl w:ilvl="0" w:tplc="626894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B61567"/>
    <w:multiLevelType w:val="hybridMultilevel"/>
    <w:tmpl w:val="4DF03E3A"/>
    <w:lvl w:ilvl="0" w:tplc="F88A53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61D45C7"/>
    <w:multiLevelType w:val="hybridMultilevel"/>
    <w:tmpl w:val="A3267D3C"/>
    <w:lvl w:ilvl="0" w:tplc="C84808F2">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A0561B"/>
    <w:multiLevelType w:val="hybridMultilevel"/>
    <w:tmpl w:val="119ABF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374CBA"/>
    <w:multiLevelType w:val="hybridMultilevel"/>
    <w:tmpl w:val="FD8A31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3660DA"/>
    <w:multiLevelType w:val="hybridMultilevel"/>
    <w:tmpl w:val="6818C6D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372E1"/>
    <w:multiLevelType w:val="hybridMultilevel"/>
    <w:tmpl w:val="433820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262DAD"/>
    <w:multiLevelType w:val="hybridMultilevel"/>
    <w:tmpl w:val="E11227A0"/>
    <w:lvl w:ilvl="0" w:tplc="EA74F4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8D01B56"/>
    <w:multiLevelType w:val="hybridMultilevel"/>
    <w:tmpl w:val="162A8A80"/>
    <w:lvl w:ilvl="0" w:tplc="CCDA6466">
      <w:start w:val="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9458F"/>
    <w:multiLevelType w:val="hybridMultilevel"/>
    <w:tmpl w:val="DCD0D6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2D6BC0"/>
    <w:multiLevelType w:val="hybridMultilevel"/>
    <w:tmpl w:val="FD8A31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BA3C5B"/>
    <w:multiLevelType w:val="hybridMultilevel"/>
    <w:tmpl w:val="0406A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AB4F86"/>
    <w:multiLevelType w:val="multilevel"/>
    <w:tmpl w:val="350A3526"/>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abstractNum w:abstractNumId="28" w15:restartNumberingAfterBreak="0">
    <w:nsid w:val="65D31FA5"/>
    <w:multiLevelType w:val="hybridMultilevel"/>
    <w:tmpl w:val="ED7077B0"/>
    <w:lvl w:ilvl="0" w:tplc="62A4CB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6727CA2"/>
    <w:multiLevelType w:val="hybridMultilevel"/>
    <w:tmpl w:val="9C3C1C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787D7D"/>
    <w:multiLevelType w:val="hybridMultilevel"/>
    <w:tmpl w:val="2A1A8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7A13A4"/>
    <w:multiLevelType w:val="hybridMultilevel"/>
    <w:tmpl w:val="9E98A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3D5DFB"/>
    <w:multiLevelType w:val="hybridMultilevel"/>
    <w:tmpl w:val="8BA837B8"/>
    <w:lvl w:ilvl="0" w:tplc="6A1ADA34">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3F0D3E"/>
    <w:multiLevelType w:val="hybridMultilevel"/>
    <w:tmpl w:val="86B0A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9046B7"/>
    <w:multiLevelType w:val="hybridMultilevel"/>
    <w:tmpl w:val="CC86D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82475F"/>
    <w:multiLevelType w:val="hybridMultilevel"/>
    <w:tmpl w:val="63B80C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7F48FF"/>
    <w:multiLevelType w:val="hybridMultilevel"/>
    <w:tmpl w:val="D1F2CFF2"/>
    <w:lvl w:ilvl="0" w:tplc="0409000F">
      <w:start w:val="1"/>
      <w:numFmt w:val="decimal"/>
      <w:lvlText w:val="%1."/>
      <w:lvlJc w:val="left"/>
      <w:pPr>
        <w:ind w:left="1440" w:hanging="720"/>
      </w:pPr>
    </w:lvl>
    <w:lvl w:ilvl="1" w:tplc="04090019">
      <w:start w:val="1"/>
      <w:numFmt w:val="lowerLetter"/>
      <w:lvlText w:val="%2."/>
      <w:lvlJc w:val="left"/>
      <w:pPr>
        <w:ind w:left="107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B3A3E04"/>
    <w:multiLevelType w:val="hybridMultilevel"/>
    <w:tmpl w:val="1DB07254"/>
    <w:lvl w:ilvl="0" w:tplc="C52235C4">
      <w:start w:val="1"/>
      <w:numFmt w:val="lowerLetter"/>
      <w:lvlText w:val="%1."/>
      <w:lvlJc w:val="left"/>
      <w:pPr>
        <w:ind w:left="720" w:hanging="360"/>
      </w:pPr>
      <w:rPr>
        <w:rFonts w:ascii="Arial" w:hAnsi="Arial" w:cs="Arial"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9C6656"/>
    <w:multiLevelType w:val="hybridMultilevel"/>
    <w:tmpl w:val="9A9A703E"/>
    <w:lvl w:ilvl="0" w:tplc="1864FF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A47ABE"/>
    <w:multiLevelType w:val="hybridMultilevel"/>
    <w:tmpl w:val="8F808E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28"/>
  </w:num>
  <w:num w:numId="3">
    <w:abstractNumId w:val="31"/>
  </w:num>
  <w:num w:numId="4">
    <w:abstractNumId w:val="32"/>
  </w:num>
  <w:num w:numId="5">
    <w:abstractNumId w:val="39"/>
  </w:num>
  <w:num w:numId="6">
    <w:abstractNumId w:val="30"/>
  </w:num>
  <w:num w:numId="7">
    <w:abstractNumId w:val="29"/>
  </w:num>
  <w:num w:numId="8">
    <w:abstractNumId w:val="3"/>
  </w:num>
  <w:num w:numId="9">
    <w:abstractNumId w:val="9"/>
  </w:num>
  <w:num w:numId="10">
    <w:abstractNumId w:val="13"/>
  </w:num>
  <w:num w:numId="11">
    <w:abstractNumId w:val="1"/>
  </w:num>
  <w:num w:numId="12">
    <w:abstractNumId w:val="12"/>
  </w:num>
  <w:num w:numId="13">
    <w:abstractNumId w:val="0"/>
  </w:num>
  <w:num w:numId="14">
    <w:abstractNumId w:val="16"/>
  </w:num>
  <w:num w:numId="15">
    <w:abstractNumId w:val="34"/>
  </w:num>
  <w:num w:numId="16">
    <w:abstractNumId w:val="6"/>
  </w:num>
  <w:num w:numId="17">
    <w:abstractNumId w:val="2"/>
  </w:num>
  <w:num w:numId="18">
    <w:abstractNumId w:val="20"/>
  </w:num>
  <w:num w:numId="19">
    <w:abstractNumId w:val="33"/>
  </w:num>
  <w:num w:numId="20">
    <w:abstractNumId w:val="25"/>
  </w:num>
  <w:num w:numId="21">
    <w:abstractNumId w:val="5"/>
  </w:num>
  <w:num w:numId="22">
    <w:abstractNumId w:val="18"/>
  </w:num>
  <w:num w:numId="23">
    <w:abstractNumId w:val="14"/>
  </w:num>
  <w:num w:numId="24">
    <w:abstractNumId w:val="38"/>
  </w:num>
  <w:num w:numId="25">
    <w:abstractNumId w:val="22"/>
  </w:num>
  <w:num w:numId="26">
    <w:abstractNumId w:val="8"/>
  </w:num>
  <w:num w:numId="27">
    <w:abstractNumId w:val="37"/>
  </w:num>
  <w:num w:numId="28">
    <w:abstractNumId w:val="23"/>
  </w:num>
  <w:num w:numId="29">
    <w:abstractNumId w:val="19"/>
  </w:num>
  <w:num w:numId="30">
    <w:abstractNumId w:val="11"/>
  </w:num>
  <w:num w:numId="31">
    <w:abstractNumId w:val="36"/>
  </w:num>
  <w:num w:numId="32">
    <w:abstractNumId w:val="35"/>
  </w:num>
  <w:num w:numId="33">
    <w:abstractNumId w:val="27"/>
  </w:num>
  <w:num w:numId="34">
    <w:abstractNumId w:val="17"/>
  </w:num>
  <w:num w:numId="35">
    <w:abstractNumId w:val="26"/>
  </w:num>
  <w:num w:numId="36">
    <w:abstractNumId w:val="7"/>
  </w:num>
  <w:num w:numId="37">
    <w:abstractNumId w:val="10"/>
  </w:num>
  <w:num w:numId="38">
    <w:abstractNumId w:val="15"/>
  </w:num>
  <w:num w:numId="39">
    <w:abstractNumId w:val="21"/>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79ED"/>
    <w:rsid w:val="00182416"/>
    <w:rsid w:val="00187EB4"/>
    <w:rsid w:val="001F0481"/>
    <w:rsid w:val="00200C92"/>
    <w:rsid w:val="0020451E"/>
    <w:rsid w:val="00206B9D"/>
    <w:rsid w:val="002130C2"/>
    <w:rsid w:val="0023259C"/>
    <w:rsid w:val="002B0BD7"/>
    <w:rsid w:val="002B573D"/>
    <w:rsid w:val="002C5CB2"/>
    <w:rsid w:val="002F779F"/>
    <w:rsid w:val="00312290"/>
    <w:rsid w:val="00371885"/>
    <w:rsid w:val="00371B14"/>
    <w:rsid w:val="00375AB0"/>
    <w:rsid w:val="003E2B87"/>
    <w:rsid w:val="003E44F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4760"/>
    <w:rsid w:val="006034F6"/>
    <w:rsid w:val="00607874"/>
    <w:rsid w:val="00607E77"/>
    <w:rsid w:val="00617BB3"/>
    <w:rsid w:val="00645CDD"/>
    <w:rsid w:val="006823A7"/>
    <w:rsid w:val="00687EE8"/>
    <w:rsid w:val="00697E4B"/>
    <w:rsid w:val="0070347F"/>
    <w:rsid w:val="0070678E"/>
    <w:rsid w:val="00831C11"/>
    <w:rsid w:val="008A60B4"/>
    <w:rsid w:val="008B3C31"/>
    <w:rsid w:val="008B64FE"/>
    <w:rsid w:val="00935BF7"/>
    <w:rsid w:val="0095442C"/>
    <w:rsid w:val="009643EC"/>
    <w:rsid w:val="00983942"/>
    <w:rsid w:val="009C37E0"/>
    <w:rsid w:val="009E41F4"/>
    <w:rsid w:val="00A14B66"/>
    <w:rsid w:val="00A65CF7"/>
    <w:rsid w:val="00A81AB4"/>
    <w:rsid w:val="00A851DA"/>
    <w:rsid w:val="00AC7D5B"/>
    <w:rsid w:val="00AE1481"/>
    <w:rsid w:val="00B0415E"/>
    <w:rsid w:val="00B04678"/>
    <w:rsid w:val="00B41210"/>
    <w:rsid w:val="00BC46DF"/>
    <w:rsid w:val="00C03577"/>
    <w:rsid w:val="00C53029"/>
    <w:rsid w:val="00C65FEA"/>
    <w:rsid w:val="00CA0AC2"/>
    <w:rsid w:val="00CB4D0A"/>
    <w:rsid w:val="00CC2FB3"/>
    <w:rsid w:val="00CC575A"/>
    <w:rsid w:val="00CF123B"/>
    <w:rsid w:val="00D039AC"/>
    <w:rsid w:val="00D427DE"/>
    <w:rsid w:val="00D5587D"/>
    <w:rsid w:val="00D62056"/>
    <w:rsid w:val="00D707CC"/>
    <w:rsid w:val="00D821FE"/>
    <w:rsid w:val="00DB0793"/>
    <w:rsid w:val="00E0073A"/>
    <w:rsid w:val="00E00821"/>
    <w:rsid w:val="00E04DB4"/>
    <w:rsid w:val="00E06384"/>
    <w:rsid w:val="00E30679"/>
    <w:rsid w:val="00E4597D"/>
    <w:rsid w:val="00E54832"/>
    <w:rsid w:val="00E56A90"/>
    <w:rsid w:val="00E641CC"/>
    <w:rsid w:val="00EA30AB"/>
    <w:rsid w:val="00EB3925"/>
    <w:rsid w:val="00F349F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E6857FC-9DC7-4D74-BB6D-21D2CBB9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75A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5AB0"/>
    <w:rPr>
      <w:sz w:val="20"/>
      <w:szCs w:val="20"/>
    </w:rPr>
  </w:style>
  <w:style w:type="character" w:styleId="FootnoteReference">
    <w:name w:val="footnote reference"/>
    <w:basedOn w:val="DefaultParagraphFont"/>
    <w:uiPriority w:val="99"/>
    <w:semiHidden/>
    <w:unhideWhenUsed/>
    <w:rsid w:val="00375AB0"/>
    <w:rPr>
      <w:vertAlign w:val="superscript"/>
    </w:rPr>
  </w:style>
  <w:style w:type="character" w:styleId="Hyperlink">
    <w:name w:val="Hyperlink"/>
    <w:basedOn w:val="DefaultParagraphFont"/>
    <w:uiPriority w:val="99"/>
    <w:unhideWhenUsed/>
    <w:rsid w:val="00375AB0"/>
    <w:rPr>
      <w:color w:val="0000FF" w:themeColor="hyperlink"/>
      <w:u w:val="single"/>
    </w:rPr>
  </w:style>
  <w:style w:type="paragraph" w:customStyle="1" w:styleId="legrhs">
    <w:name w:val="legrhs"/>
    <w:basedOn w:val="Normal"/>
    <w:rsid w:val="003E44F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E44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tory-body">
    <w:name w:val="statutory-body"/>
    <w:basedOn w:val="Normal"/>
    <w:rsid w:val="00E0073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007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citywire.co.uk/new-model-adviser/news/adviser-guilty-of-murdering-client-and-343k-fraud/a721702" TargetMode="External"/><Relationship Id="rId1" Type="http://schemas.openxmlformats.org/officeDocument/2006/relationships/hyperlink" Target="http://www.rotlaw.com/legal-library/what-is-the-best-evidence-r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72A0D-08D4-4E1E-A4D9-4FB2EA2E7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4548</Words>
  <Characters>25926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Lipman Karas</Company>
  <LinksUpToDate>false</LinksUpToDate>
  <CharactersWithSpaces>30414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Adam Flacks</cp:lastModifiedBy>
  <cp:revision>3</cp:revision>
  <dcterms:created xsi:type="dcterms:W3CDTF">2017-09-22T13:20:00Z</dcterms:created>
  <dcterms:modified xsi:type="dcterms:W3CDTF">2018-01-03T16:02:00Z</dcterms:modified>
</cp:coreProperties>
</file>