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58F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0C51">
            <w:pPr>
              <w:pStyle w:val="Default"/>
              <w:rPr>
                <w:rFonts w:asciiTheme="minorHAnsi" w:hAnsiTheme="minorHAnsi"/>
              </w:rPr>
            </w:pPr>
            <w:r>
              <w:rPr>
                <w:rFonts w:asciiTheme="minorHAnsi" w:hAnsiTheme="minorHAnsi"/>
              </w:rPr>
              <w:t>NITESH DHIMAN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0C51">
            <w:pPr>
              <w:pStyle w:val="Default"/>
              <w:rPr>
                <w:rFonts w:asciiTheme="minorHAnsi" w:hAnsiTheme="minorHAnsi"/>
              </w:rPr>
            </w:pPr>
            <w:r>
              <w:rPr>
                <w:rFonts w:asciiTheme="minorHAnsi" w:hAnsiTheme="minorHAnsi"/>
              </w:rPr>
              <w:t>23089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0C51">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0C5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1. Give short answers to the following questions: </w:t>
            </w: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i. Define the term ‘Discrimination’.</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Discrimination occurs when people are judged according to particular criteria. For example, when selecting someone for a teaching post, the school panel might discriminate in favour of a candidate who answers the questions clearly and concisely and discriminate against a candidate who mutters and strays away from the point of the question.</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It usually means that the criteria used to judge someone are unjustified.</w:t>
            </w: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 ii. What is the difference between direct and indirect discrimination?</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b/>
                <w:sz w:val="24"/>
                <w:szCs w:val="24"/>
              </w:rPr>
              <w:t>Direct Discrimination:</w:t>
            </w:r>
            <w:r w:rsidRPr="003A0B4B">
              <w:rPr>
                <w:rFonts w:ascii="Calibri" w:hAnsi="Calibri" w:cs="Calibri"/>
                <w:sz w:val="24"/>
                <w:szCs w:val="24"/>
              </w:rPr>
              <w:t xml:space="preserve"> This is when companies advertise for a ‘Girl Friday’ for example, and use different criteria when selecting candidates for promotion. This would be considered sex or gender discrimination. Racial discrimination is when employers specify that that they do not want any black workers. Turning down a deaf or partially blind individual based on their perceived disabilities is also a form of discrimination. In all these above cases, a group of people are treated less favourably than another group based on sex, race or disability. There is no defence for this behaviour even if the employers think that they are doing the right thing for their business. The motives are not relevant.</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lastRenderedPageBreak/>
              <w:t xml:space="preserve"> </w:t>
            </w:r>
            <w:r w:rsidRPr="003A0B4B">
              <w:rPr>
                <w:rFonts w:ascii="Calibri" w:hAnsi="Calibri" w:cs="Calibri"/>
                <w:b/>
                <w:sz w:val="24"/>
                <w:szCs w:val="24"/>
              </w:rPr>
              <w:t>Indirect Discrimination:</w:t>
            </w:r>
            <w:r w:rsidRPr="003A0B4B">
              <w:rPr>
                <w:rFonts w:ascii="Calibri" w:hAnsi="Calibri" w:cs="Calibri"/>
                <w:sz w:val="24"/>
                <w:szCs w:val="24"/>
              </w:rPr>
              <w:t xml:space="preserve"> This is when an organisation treats all employees equally but a particular practice or policy affects one gender or race more than another or negatively affects the disabled more Race</w:t>
            </w:r>
            <w:r w:rsidRPr="003A0B4B">
              <w:rPr>
                <w:rFonts w:ascii="Calibri" w:hAnsi="Calibri" w:cs="Calibri"/>
                <w:sz w:val="24"/>
                <w:szCs w:val="24"/>
              </w:rPr>
              <w:sym w:font="Symbol" w:char="F0B7"/>
            </w:r>
            <w:r w:rsidRPr="003A0B4B">
              <w:rPr>
                <w:rFonts w:ascii="Calibri" w:hAnsi="Calibri" w:cs="Calibri"/>
                <w:sz w:val="24"/>
                <w:szCs w:val="24"/>
              </w:rPr>
              <w:t xml:space="preserve"> Marital status </w:t>
            </w:r>
            <w:r w:rsidRPr="003A0B4B">
              <w:rPr>
                <w:rFonts w:ascii="Calibri" w:hAnsi="Calibri" w:cs="Calibri"/>
                <w:sz w:val="24"/>
                <w:szCs w:val="24"/>
              </w:rPr>
              <w:sym w:font="Symbol" w:char="F0B7"/>
            </w:r>
            <w:r w:rsidRPr="003A0B4B">
              <w:rPr>
                <w:rFonts w:ascii="Calibri" w:hAnsi="Calibri" w:cs="Calibri"/>
                <w:sz w:val="24"/>
                <w:szCs w:val="24"/>
              </w:rPr>
              <w:t xml:space="preserve"> Gender </w:t>
            </w:r>
            <w:r w:rsidRPr="003A0B4B">
              <w:rPr>
                <w:rFonts w:ascii="Calibri" w:hAnsi="Calibri" w:cs="Calibri"/>
                <w:sz w:val="24"/>
                <w:szCs w:val="24"/>
              </w:rPr>
              <w:sym w:font="Symbol" w:char="F0B7"/>
            </w:r>
            <w:r w:rsidRPr="003A0B4B">
              <w:rPr>
                <w:rFonts w:ascii="Calibri" w:hAnsi="Calibri" w:cs="Calibri"/>
                <w:sz w:val="24"/>
                <w:szCs w:val="24"/>
              </w:rPr>
              <w:t>than those fully-abled.</w:t>
            </w:r>
          </w:p>
          <w:p w:rsidR="00490C51"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 There are laws in place that make it illegal to discriminate on the grounds of:   National origin</w:t>
            </w:r>
            <w:r w:rsidRPr="003A0B4B">
              <w:rPr>
                <w:rFonts w:ascii="Calibri" w:hAnsi="Calibri" w:cs="Calibri"/>
                <w:sz w:val="24"/>
                <w:szCs w:val="24"/>
              </w:rPr>
              <w:sym w:font="Symbol" w:char="F0B7"/>
            </w:r>
            <w:r w:rsidRPr="003A0B4B">
              <w:rPr>
                <w:rFonts w:ascii="Calibri" w:hAnsi="Calibri" w:cs="Calibri"/>
                <w:sz w:val="24"/>
                <w:szCs w:val="24"/>
              </w:rPr>
              <w:t xml:space="preserve"> Sexual orientation</w:t>
            </w:r>
            <w:r w:rsidRPr="003A0B4B">
              <w:rPr>
                <w:rFonts w:ascii="Calibri" w:hAnsi="Calibri" w:cs="Calibri"/>
                <w:sz w:val="24"/>
                <w:szCs w:val="24"/>
              </w:rPr>
              <w:sym w:font="Symbol" w:char="F0B7"/>
            </w:r>
            <w:r w:rsidRPr="003A0B4B">
              <w:rPr>
                <w:rFonts w:ascii="Calibri" w:hAnsi="Calibri" w:cs="Calibri"/>
                <w:sz w:val="24"/>
                <w:szCs w:val="24"/>
              </w:rPr>
              <w:t xml:space="preserve"> Disability </w:t>
            </w:r>
            <w:r w:rsidRPr="003A0B4B">
              <w:rPr>
                <w:rFonts w:ascii="Calibri" w:hAnsi="Calibri" w:cs="Calibri"/>
                <w:sz w:val="24"/>
                <w:szCs w:val="24"/>
              </w:rPr>
              <w:sym w:font="Symbol" w:char="F0B7"/>
            </w:r>
            <w:r w:rsidRPr="003A0B4B">
              <w:rPr>
                <w:rFonts w:ascii="Calibri" w:hAnsi="Calibri" w:cs="Calibri"/>
                <w:sz w:val="24"/>
                <w:szCs w:val="24"/>
              </w:rPr>
              <w:t xml:space="preserve"> Ethnicity </w:t>
            </w:r>
            <w:r w:rsidRPr="003A0B4B">
              <w:rPr>
                <w:rFonts w:ascii="Calibri" w:hAnsi="Calibri" w:cs="Calibri"/>
                <w:sz w:val="24"/>
                <w:szCs w:val="24"/>
              </w:rPr>
              <w:sym w:font="Symbol" w:char="F0B7"/>
            </w:r>
            <w:r w:rsidRPr="003A0B4B">
              <w:rPr>
                <w:rFonts w:ascii="Calibri" w:hAnsi="Calibri" w:cs="Calibri"/>
                <w:sz w:val="24"/>
                <w:szCs w:val="24"/>
              </w:rPr>
              <w:t xml:space="preserve">  Age</w:t>
            </w:r>
            <w:r w:rsidRPr="003A0B4B">
              <w:rPr>
                <w:rFonts w:ascii="Calibri" w:hAnsi="Calibri" w:cs="Calibri"/>
                <w:sz w:val="24"/>
                <w:szCs w:val="24"/>
              </w:rPr>
              <w:sym w:font="Symbol" w:char="F0B7"/>
            </w:r>
            <w:r w:rsidRPr="003A0B4B">
              <w:rPr>
                <w:rFonts w:ascii="Calibri" w:hAnsi="Calibri" w:cs="Calibri"/>
                <w:sz w:val="24"/>
                <w:szCs w:val="24"/>
              </w:rPr>
              <w:t xml:space="preserve"> Religion or belief </w:t>
            </w:r>
            <w:r w:rsidRPr="003A0B4B">
              <w:rPr>
                <w:rFonts w:ascii="Calibri" w:hAnsi="Calibri" w:cs="Calibri"/>
                <w:sz w:val="24"/>
                <w:szCs w:val="24"/>
              </w:rPr>
              <w:sym w:font="Symbol" w:char="F0B7"/>
            </w:r>
            <w:r w:rsidRPr="003A0B4B">
              <w:rPr>
                <w:rFonts w:ascii="Calibri" w:hAnsi="Calibri" w:cs="Calibri"/>
                <w:sz w:val="24"/>
                <w:szCs w:val="24"/>
              </w:rPr>
              <w:t xml:space="preserve">  Union membership or non-membership</w:t>
            </w:r>
            <w:r w:rsidRPr="003A0B4B">
              <w:rPr>
                <w:rFonts w:ascii="Calibri" w:hAnsi="Calibri" w:cs="Calibri"/>
                <w:sz w:val="24"/>
                <w:szCs w:val="24"/>
              </w:rPr>
              <w:sym w:font="Symbol" w:char="F0B7"/>
            </w:r>
            <w:r w:rsidRPr="003A0B4B">
              <w:rPr>
                <w:rFonts w:ascii="Calibri" w:hAnsi="Calibri" w:cs="Calibri"/>
                <w:sz w:val="24"/>
                <w:szCs w:val="24"/>
              </w:rPr>
              <w:t xml:space="preserve">  Individuals being ex-offenders who have served their time.</w:t>
            </w:r>
            <w:r w:rsidRPr="003A0B4B">
              <w:rPr>
                <w:rFonts w:ascii="Calibri" w:hAnsi="Calibri" w:cs="Calibri"/>
                <w:sz w:val="24"/>
                <w:szCs w:val="24"/>
              </w:rPr>
              <w:sym w:font="Symbol" w:char="F0B7"/>
            </w:r>
            <w:r w:rsidRPr="003A0B4B">
              <w:rPr>
                <w:rFonts w:ascii="Calibri" w:hAnsi="Calibri" w:cs="Calibri"/>
                <w:sz w:val="24"/>
                <w:szCs w:val="24"/>
              </w:rPr>
              <w:t xml:space="preserve"> Individuals who are fixed-term workers </w:t>
            </w:r>
            <w:r w:rsidRPr="003A0B4B">
              <w:rPr>
                <w:rFonts w:ascii="Calibri" w:hAnsi="Calibri" w:cs="Calibri"/>
                <w:sz w:val="24"/>
                <w:szCs w:val="24"/>
              </w:rPr>
              <w:sym w:font="Symbol" w:char="F0B7"/>
            </w:r>
            <w:r w:rsidRPr="003A0B4B">
              <w:rPr>
                <w:rFonts w:ascii="Calibri" w:hAnsi="Calibri" w:cs="Calibri"/>
                <w:sz w:val="24"/>
                <w:szCs w:val="24"/>
              </w:rPr>
              <w:t xml:space="preserve"> Part-time workers </w:t>
            </w:r>
            <w:r>
              <w:rPr>
                <w:rFonts w:ascii="Calibri" w:hAnsi="Calibri" w:cs="Calibri"/>
                <w:sz w:val="24"/>
                <w:szCs w:val="24"/>
              </w:rPr>
              <w:t>.</w:t>
            </w:r>
          </w:p>
          <w:p w:rsidR="00490C51" w:rsidRDefault="00490C51" w:rsidP="00490C51">
            <w:pPr>
              <w:spacing w:line="360" w:lineRule="auto"/>
              <w:jc w:val="both"/>
              <w:rPr>
                <w:rFonts w:ascii="Calibri" w:hAnsi="Calibri" w:cs="Calibri"/>
                <w:sz w:val="24"/>
                <w:szCs w:val="24"/>
              </w:rPr>
            </w:pP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 iii. What is victimisation? </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Victimisation is when an employer victimises employees by disadvantaging them in some way because they (employees) have exercised their legal rights or assisted other employees in doing so. A case can be brought to a tribunal if the employee has been overlooked for a promotion, for example, after successfully fighting for and winning an equal pay claim. It is important to note here that victimisation also covers any situation where an employer threatens a certain action even of it hasn’t actually done it.</w:t>
            </w:r>
          </w:p>
          <w:p w:rsidR="00490C51" w:rsidRPr="003A0B4B" w:rsidRDefault="00490C51" w:rsidP="00490C51">
            <w:pPr>
              <w:pStyle w:val="NormalWeb"/>
              <w:spacing w:before="0" w:beforeAutospacing="0" w:after="157" w:afterAutospacing="0" w:line="360" w:lineRule="auto"/>
              <w:jc w:val="both"/>
              <w:rPr>
                <w:rFonts w:ascii="Calibri" w:hAnsi="Calibri" w:cs="Calibri"/>
                <w:color w:val="000000"/>
                <w:spacing w:val="5"/>
              </w:rPr>
            </w:pPr>
            <w:r w:rsidRPr="003A0B4B">
              <w:rPr>
                <w:rStyle w:val="Emphasis"/>
                <w:rFonts w:ascii="Calibri" w:hAnsi="Calibri" w:cs="Calibri"/>
                <w:color w:val="000000"/>
                <w:spacing w:val="5"/>
              </w:rPr>
              <w:t xml:space="preserve">Jane, a British woman of MÄori ethnicity, is taking her case to </w:t>
            </w:r>
            <w:r w:rsidRPr="003A0B4B">
              <w:rPr>
                <w:rFonts w:ascii="Calibri" w:hAnsi="Calibri" w:cs="Calibri"/>
                <w:color w:val="000000"/>
                <w:spacing w:val="5"/>
              </w:rPr>
              <w:t>employment</w:t>
            </w:r>
            <w:r w:rsidRPr="003A0B4B">
              <w:rPr>
                <w:rStyle w:val="Emphasis"/>
                <w:rFonts w:ascii="Calibri" w:hAnsi="Calibri" w:cs="Calibri"/>
                <w:color w:val="000000"/>
                <w:spacing w:val="5"/>
              </w:rPr>
              <w:t xml:space="preserve"> tribunal after being racially abused by two colleagues. In the </w:t>
            </w:r>
            <w:r w:rsidRPr="003A0B4B">
              <w:rPr>
                <w:rFonts w:ascii="Calibri" w:hAnsi="Calibri" w:cs="Calibri"/>
                <w:color w:val="000000"/>
                <w:spacing w:val="5"/>
              </w:rPr>
              <w:t>run up</w:t>
            </w:r>
            <w:r w:rsidRPr="003A0B4B">
              <w:rPr>
                <w:rStyle w:val="Emphasis"/>
                <w:rFonts w:ascii="Calibri" w:hAnsi="Calibri" w:cs="Calibri"/>
                <w:color w:val="000000"/>
                <w:spacing w:val="5"/>
              </w:rPr>
              <w:t xml:space="preserve"> to the hearing, many more of her colleagues stop talking to Jane and her manager puts her on probation.</w:t>
            </w:r>
          </w:p>
          <w:p w:rsidR="00490C51" w:rsidRPr="003A0B4B" w:rsidRDefault="00490C51" w:rsidP="00490C51">
            <w:pPr>
              <w:pStyle w:val="NormalWeb"/>
              <w:spacing w:before="0" w:beforeAutospacing="0" w:after="157" w:afterAutospacing="0" w:line="360" w:lineRule="auto"/>
              <w:jc w:val="both"/>
              <w:rPr>
                <w:rFonts w:ascii="Calibri" w:hAnsi="Calibri" w:cs="Calibri"/>
                <w:color w:val="000000"/>
                <w:spacing w:val="5"/>
              </w:rPr>
            </w:pPr>
            <w:r w:rsidRPr="003A0B4B">
              <w:rPr>
                <w:rFonts w:ascii="Calibri" w:hAnsi="Calibri" w:cs="Calibri"/>
                <w:color w:val="000000"/>
                <w:spacing w:val="5"/>
              </w:rPr>
              <w:t xml:space="preserve">This is an example of victimisation, which is a form of direct racial discrimination protected by the Equality Act. Although Jane’s victimisation seems to be a direct response to her tribunal claim, it is also </w:t>
            </w:r>
            <w:r w:rsidRPr="003A0B4B">
              <w:rPr>
                <w:rStyle w:val="Strong"/>
                <w:rFonts w:ascii="Calibri" w:hAnsi="Calibri" w:cs="Calibri"/>
                <w:color w:val="000000"/>
                <w:spacing w:val="5"/>
              </w:rPr>
              <w:t>an attack on her right to defend herself</w:t>
            </w:r>
            <w:r w:rsidRPr="003A0B4B">
              <w:rPr>
                <w:rFonts w:ascii="Calibri" w:hAnsi="Calibri" w:cs="Calibri"/>
                <w:color w:val="000000"/>
                <w:spacing w:val="5"/>
              </w:rPr>
              <w:t xml:space="preserve"> from racial harassment.</w:t>
            </w: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iv. What is race discrimination? Explain, with a few examples.</w:t>
            </w:r>
          </w:p>
          <w:p w:rsidR="00490C51" w:rsidRPr="003A0B4B" w:rsidRDefault="00490C51" w:rsidP="00490C51">
            <w:pPr>
              <w:spacing w:line="360" w:lineRule="auto"/>
              <w:jc w:val="both"/>
              <w:rPr>
                <w:rFonts w:ascii="Calibri" w:hAnsi="Calibri" w:cs="Calibri"/>
                <w:color w:val="444444"/>
                <w:sz w:val="24"/>
                <w:szCs w:val="24"/>
              </w:rPr>
            </w:pPr>
            <w:r w:rsidRPr="003A0B4B">
              <w:rPr>
                <w:rFonts w:ascii="Calibri" w:hAnsi="Calibri" w:cs="Calibri"/>
                <w:color w:val="444444"/>
                <w:sz w:val="24"/>
                <w:szCs w:val="24"/>
              </w:rPr>
              <w:t xml:space="preserve">Racial </w:t>
            </w:r>
            <w:r w:rsidRPr="003A0B4B">
              <w:rPr>
                <w:rStyle w:val="Strong"/>
                <w:rFonts w:ascii="Calibri" w:hAnsi="Calibri" w:cs="Calibri"/>
                <w:color w:val="444444"/>
                <w:sz w:val="24"/>
                <w:szCs w:val="24"/>
              </w:rPr>
              <w:t>discrimination</w:t>
            </w:r>
            <w:r w:rsidRPr="003A0B4B">
              <w:rPr>
                <w:rFonts w:ascii="Calibri" w:hAnsi="Calibri" w:cs="Calibri"/>
                <w:color w:val="444444"/>
                <w:sz w:val="24"/>
                <w:szCs w:val="24"/>
              </w:rPr>
              <w:t xml:space="preserve"> is when an individual or organisation discriminates or acts in predjudice against an individual or group based on his/her/their </w:t>
            </w:r>
            <w:r w:rsidRPr="003A0B4B">
              <w:rPr>
                <w:rStyle w:val="Strong"/>
                <w:rFonts w:ascii="Calibri" w:hAnsi="Calibri" w:cs="Calibri"/>
                <w:color w:val="444444"/>
                <w:sz w:val="24"/>
                <w:szCs w:val="24"/>
              </w:rPr>
              <w:t>race</w:t>
            </w:r>
            <w:r w:rsidRPr="003A0B4B">
              <w:rPr>
                <w:rFonts w:ascii="Calibri" w:hAnsi="Calibri" w:cs="Calibri"/>
                <w:color w:val="444444"/>
                <w:sz w:val="24"/>
                <w:szCs w:val="24"/>
              </w:rPr>
              <w:t>.</w:t>
            </w:r>
          </w:p>
          <w:p w:rsidR="00490C51" w:rsidRPr="003A0B4B" w:rsidRDefault="00490C51" w:rsidP="00490C51">
            <w:pPr>
              <w:pStyle w:val="NormalWeb"/>
              <w:spacing w:before="0" w:beforeAutospacing="0" w:after="157" w:afterAutospacing="0" w:line="360" w:lineRule="auto"/>
              <w:jc w:val="both"/>
              <w:rPr>
                <w:rFonts w:ascii="Calibri" w:hAnsi="Calibri" w:cs="Calibri"/>
                <w:color w:val="000000"/>
                <w:spacing w:val="5"/>
              </w:rPr>
            </w:pPr>
            <w:r w:rsidRPr="003A0B4B">
              <w:rPr>
                <w:rStyle w:val="Emphasis"/>
                <w:rFonts w:ascii="Calibri" w:hAnsi="Calibri" w:cs="Calibri"/>
                <w:color w:val="000000"/>
                <w:spacing w:val="5"/>
              </w:rPr>
              <w:t>Shafiq is a Muslim working as an administrator in local government. His line manager continually comments on his appearance and questions him about Islamic customs. As weeks go by, Shafiq begins to find his workplace hostile and intimidating.</w:t>
            </w:r>
          </w:p>
          <w:p w:rsidR="00490C51" w:rsidRPr="003A0B4B" w:rsidRDefault="00490C51" w:rsidP="00490C51">
            <w:pPr>
              <w:pStyle w:val="NormalWeb"/>
              <w:spacing w:before="0" w:beforeAutospacing="0" w:after="157" w:afterAutospacing="0" w:line="360" w:lineRule="auto"/>
              <w:jc w:val="both"/>
              <w:rPr>
                <w:rFonts w:ascii="Calibri" w:hAnsi="Calibri" w:cs="Calibri"/>
                <w:color w:val="000000"/>
                <w:spacing w:val="5"/>
              </w:rPr>
            </w:pPr>
            <w:r w:rsidRPr="003A0B4B">
              <w:rPr>
                <w:rFonts w:ascii="Calibri" w:hAnsi="Calibri" w:cs="Calibri"/>
                <w:color w:val="000000"/>
                <w:spacing w:val="5"/>
              </w:rPr>
              <w:t xml:space="preserve">Racial harassment is </w:t>
            </w:r>
            <w:r w:rsidRPr="003A0B4B">
              <w:rPr>
                <w:rStyle w:val="Strong"/>
                <w:rFonts w:ascii="Calibri" w:hAnsi="Calibri" w:cs="Calibri"/>
                <w:color w:val="000000"/>
                <w:spacing w:val="5"/>
              </w:rPr>
              <w:t>not limited to overtly insulting remarks or behaviour</w:t>
            </w:r>
            <w:r w:rsidRPr="003A0B4B">
              <w:rPr>
                <w:rFonts w:ascii="Calibri" w:hAnsi="Calibri" w:cs="Calibri"/>
                <w:color w:val="000000"/>
                <w:spacing w:val="5"/>
              </w:rPr>
              <w:t xml:space="preserve">. It can include any unwanted conduct related to an employee’s race, especially when it </w:t>
            </w:r>
            <w:r w:rsidRPr="003A0B4B">
              <w:rPr>
                <w:rFonts w:ascii="Calibri" w:hAnsi="Calibri" w:cs="Calibri"/>
                <w:color w:val="000000"/>
                <w:spacing w:val="5"/>
              </w:rPr>
              <w:lastRenderedPageBreak/>
              <w:t>violates their dignity or creates an offensive environment.</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The Race Relations Act 1976 governs the UK’s race discrimination laws. The principles are almost exactly the same as the Sex Discrimination Act as mentioned above, and became one of European competence in 2003. This law applies to every worker except those who are hired to work overseas or in private households. Both ‘direct’ and ‘indirect’ forms of discrimination are defined in the same way as they are in the Sex Discrimination Act. </w:t>
            </w:r>
          </w:p>
          <w:p w:rsidR="00490C51" w:rsidRDefault="00490C51" w:rsidP="00490C51">
            <w:pPr>
              <w:spacing w:line="360" w:lineRule="auto"/>
              <w:jc w:val="both"/>
              <w:rPr>
                <w:rFonts w:ascii="Calibri" w:hAnsi="Calibri" w:cs="Calibri"/>
                <w:b/>
                <w:sz w:val="24"/>
                <w:szCs w:val="24"/>
              </w:rPr>
            </w:pP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 v. What is the Disability Discrimination Act 1995 about?</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In December 1996 the Disability Discrimination Act (1995) came into force. It replaced the Disabled Persons (Employment) Act 1944, which was criticised for being ineffective. Since 1996 when the new Act began, thousands of cases have been brought before employment tribunals. In 2006, the Commission for Equality and Human Rights replaced the Disability Rights Commission. The Commission for Equality and Human Rights now promotes the interests of disabled people and polices employer actions. Its role is to prevent employers from directly discriminating against people (whether they be workers or applicants for a job) who have a disability. Specifying in a job ad that applicants must have a ‘good record of health’ cannot be considered unlawful under the Act. Organisations that are brought to a tribunal are there because they have actually discriminated against an individual.</w:t>
            </w:r>
          </w:p>
          <w:p w:rsidR="00490C51" w:rsidRDefault="00490C51" w:rsidP="00490C51">
            <w:pPr>
              <w:spacing w:line="360" w:lineRule="auto"/>
              <w:jc w:val="both"/>
              <w:rPr>
                <w:rFonts w:ascii="Calibri" w:hAnsi="Calibri" w:cs="Calibri"/>
                <w:b/>
                <w:sz w:val="24"/>
                <w:szCs w:val="24"/>
              </w:rPr>
            </w:pP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 vi. When a disabled person is appointed, what special measures should be taken by the employers to accommodate newly appointed staff? </w:t>
            </w:r>
          </w:p>
          <w:p w:rsidR="00490C51"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The Disability Discrimination Act (DDA) explains the need for ‘reasonable adjustments’ that can be made to employment arrangements to balance out the practical problems that disabled people face. This can include things like wheelchair access, flexible working times, time off for treatment, Braille equipment provision, and specialised training. The ‘reasonable’ adjustments relate to the cost of adjustments with respect to the company’s resources, the situation with regards to the employment of disabled people in the company and the ease (or not) of making these adjustments. There are two situations that are emphasised: for existing disabled employees or ones that were working but had a serious accident, and where an employer receives an application of an existing employee. Greater onus is on the employer regarding the existing employee. However, if the organisation has </w:t>
            </w:r>
            <w:r w:rsidRPr="003A0B4B">
              <w:rPr>
                <w:rFonts w:ascii="Calibri" w:hAnsi="Calibri" w:cs="Calibri"/>
                <w:sz w:val="24"/>
                <w:szCs w:val="24"/>
              </w:rPr>
              <w:lastRenderedPageBreak/>
              <w:t>few disabled people the onus is on making more reasonable provisions.</w:t>
            </w:r>
          </w:p>
          <w:p w:rsidR="00490C51" w:rsidRPr="003A0B4B" w:rsidRDefault="00490C51" w:rsidP="00490C51">
            <w:pPr>
              <w:spacing w:line="360" w:lineRule="auto"/>
              <w:jc w:val="both"/>
              <w:rPr>
                <w:rFonts w:ascii="Calibri" w:hAnsi="Calibri" w:cs="Calibri"/>
                <w:sz w:val="24"/>
                <w:szCs w:val="24"/>
              </w:rPr>
            </w:pP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2. Outline the procedures for handling harassment.</w:t>
            </w:r>
          </w:p>
          <w:p w:rsidR="00490C51" w:rsidRPr="003A0B4B"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 xml:space="preserve">Procedure for Handling Harassment </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Many organisations are providing independent counsellors that victims of harassment or bullying can turn to for advice. All conversations are strictly confidential and without pressure. </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These counsellors’ advice can help victims decide whether or not to take action and what form that action should take. </w:t>
            </w:r>
          </w:p>
          <w:p w:rsidR="00490C51" w:rsidRPr="003A0B4B" w:rsidRDefault="00490C51" w:rsidP="00490C51">
            <w:pPr>
              <w:spacing w:line="360" w:lineRule="auto"/>
              <w:jc w:val="both"/>
              <w:rPr>
                <w:rFonts w:ascii="Calibri" w:hAnsi="Calibri" w:cs="Calibri"/>
                <w:sz w:val="24"/>
                <w:szCs w:val="24"/>
              </w:rPr>
            </w:pPr>
            <w:r w:rsidRPr="003A0B4B">
              <w:rPr>
                <w:rFonts w:ascii="Calibri" w:hAnsi="Calibri" w:cs="Calibri"/>
                <w:sz w:val="24"/>
                <w:szCs w:val="24"/>
              </w:rPr>
              <w:t xml:space="preserve">Producing evidence will most likely also be advised. Things like keeping written notes with dates and witnesses, etc., must be done. </w:t>
            </w:r>
          </w:p>
          <w:p w:rsidR="00490C51" w:rsidRDefault="00490C51" w:rsidP="00490C51">
            <w:pPr>
              <w:spacing w:line="360" w:lineRule="auto"/>
              <w:jc w:val="both"/>
              <w:rPr>
                <w:rFonts w:ascii="Calibri" w:hAnsi="Calibri" w:cs="Calibri"/>
                <w:sz w:val="24"/>
                <w:szCs w:val="24"/>
              </w:rPr>
            </w:pPr>
            <w:r w:rsidRPr="003A0B4B">
              <w:rPr>
                <w:rFonts w:ascii="Calibri" w:hAnsi="Calibri" w:cs="Calibri"/>
                <w:sz w:val="24"/>
                <w:szCs w:val="24"/>
              </w:rPr>
              <w:t>Taking action is necessary because without it, it is unlikely the unacceptable behaviour will stop.</w:t>
            </w:r>
          </w:p>
          <w:p w:rsidR="00490C51" w:rsidRDefault="00490C51" w:rsidP="00490C51">
            <w:pPr>
              <w:spacing w:line="360" w:lineRule="auto"/>
              <w:jc w:val="both"/>
              <w:rPr>
                <w:rFonts w:ascii="Calibri" w:hAnsi="Calibri" w:cs="Calibri"/>
                <w:b/>
                <w:sz w:val="24"/>
                <w:szCs w:val="24"/>
              </w:rPr>
            </w:pPr>
          </w:p>
          <w:p w:rsidR="00490C51" w:rsidRDefault="00490C51" w:rsidP="00490C51">
            <w:pPr>
              <w:spacing w:line="360" w:lineRule="auto"/>
              <w:jc w:val="both"/>
              <w:rPr>
                <w:rFonts w:ascii="Calibri" w:hAnsi="Calibri" w:cs="Calibri"/>
                <w:b/>
                <w:sz w:val="24"/>
                <w:szCs w:val="24"/>
              </w:rPr>
            </w:pPr>
            <w:r w:rsidRPr="003A0B4B">
              <w:rPr>
                <w:rFonts w:ascii="Calibri" w:hAnsi="Calibri" w:cs="Calibri"/>
                <w:b/>
                <w:sz w:val="24"/>
                <w:szCs w:val="24"/>
              </w:rPr>
              <w:t>References:</w:t>
            </w:r>
          </w:p>
          <w:p w:rsidR="00490C51" w:rsidRPr="003A0B4B" w:rsidRDefault="00490C51" w:rsidP="00490C51">
            <w:pPr>
              <w:pStyle w:val="ListParagraph"/>
              <w:numPr>
                <w:ilvl w:val="0"/>
                <w:numId w:val="2"/>
              </w:numPr>
              <w:spacing w:line="360" w:lineRule="auto"/>
              <w:jc w:val="both"/>
              <w:rPr>
                <w:rFonts w:cs="Calibri"/>
                <w:sz w:val="24"/>
                <w:szCs w:val="24"/>
              </w:rPr>
            </w:pPr>
            <w:r w:rsidRPr="003A0B4B">
              <w:rPr>
                <w:rFonts w:cs="Calibri"/>
                <w:sz w:val="24"/>
                <w:szCs w:val="24"/>
              </w:rPr>
              <w:t>Michael Armstrong, (2006), A Handbook of Human Resource Management Practice</w:t>
            </w:r>
            <w:r w:rsidRPr="003A0B4B">
              <w:rPr>
                <w:rFonts w:cs="Calibri"/>
              </w:rPr>
              <w:sym w:font="Symbol" w:char="F0FC"/>
            </w:r>
            <w:r w:rsidRPr="003A0B4B">
              <w:rPr>
                <w:rFonts w:cs="Calibri"/>
                <w:sz w:val="24"/>
                <w:szCs w:val="24"/>
              </w:rPr>
              <w:t xml:space="preserve">  </w:t>
            </w:r>
          </w:p>
          <w:p w:rsidR="00490C51" w:rsidRPr="003A0B4B" w:rsidRDefault="00490C51" w:rsidP="00490C51">
            <w:pPr>
              <w:pStyle w:val="ListParagraph"/>
              <w:numPr>
                <w:ilvl w:val="0"/>
                <w:numId w:val="2"/>
              </w:numPr>
              <w:spacing w:line="360" w:lineRule="auto"/>
              <w:jc w:val="both"/>
              <w:rPr>
                <w:rFonts w:cs="Calibri"/>
                <w:sz w:val="24"/>
                <w:szCs w:val="24"/>
              </w:rPr>
            </w:pPr>
            <w:r w:rsidRPr="003A0B4B">
              <w:rPr>
                <w:rFonts w:cs="Calibri"/>
                <w:sz w:val="24"/>
                <w:szCs w:val="24"/>
              </w:rPr>
              <w:t>John Stredwick, (2005), An Introduction to Human Resource Management</w:t>
            </w:r>
            <w:r w:rsidRPr="003A0B4B">
              <w:rPr>
                <w:rFonts w:cs="Calibri"/>
              </w:rPr>
              <w:sym w:font="Symbol" w:char="F0FC"/>
            </w:r>
            <w:r w:rsidRPr="003A0B4B">
              <w:rPr>
                <w:rFonts w:cs="Calibri"/>
                <w:sz w:val="24"/>
                <w:szCs w:val="24"/>
              </w:rPr>
              <w:t xml:space="preserve">  </w:t>
            </w:r>
          </w:p>
          <w:p w:rsidR="00490C51" w:rsidRPr="003A0B4B" w:rsidRDefault="00490C51" w:rsidP="00490C51">
            <w:pPr>
              <w:pStyle w:val="ListParagraph"/>
              <w:numPr>
                <w:ilvl w:val="0"/>
                <w:numId w:val="2"/>
              </w:numPr>
              <w:spacing w:line="360" w:lineRule="auto"/>
              <w:jc w:val="both"/>
              <w:rPr>
                <w:rFonts w:cs="Calibri"/>
                <w:sz w:val="24"/>
                <w:szCs w:val="24"/>
              </w:rPr>
            </w:pPr>
            <w:r w:rsidRPr="003A0B4B">
              <w:rPr>
                <w:rFonts w:cs="Calibri"/>
                <w:sz w:val="24"/>
                <w:szCs w:val="24"/>
              </w:rPr>
              <w:t>ArbaraBagilhole, (2009), Understanding Equal Opportunities and Diversity</w:t>
            </w:r>
            <w:r w:rsidRPr="003A0B4B">
              <w:rPr>
                <w:rFonts w:cs="Calibri"/>
              </w:rPr>
              <w:sym w:font="Symbol" w:char="F0FC"/>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0C51" w:rsidP="00A851DA">
            <w:pPr>
              <w:rPr>
                <w:rFonts w:cs="Bliss-Regular"/>
                <w:color w:val="000000"/>
              </w:rPr>
            </w:pPr>
            <w:r>
              <w:rPr>
                <w:rFonts w:cs="Bliss-Regular"/>
                <w:color w:val="000000"/>
              </w:rPr>
              <w:t>NITESH DHIMAN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C51" w:rsidP="00A851DA">
            <w:pPr>
              <w:rPr>
                <w:rFonts w:cs="Bliss-Regular"/>
                <w:color w:val="000000"/>
              </w:rPr>
            </w:pPr>
            <w:r>
              <w:rPr>
                <w:rFonts w:cs="Bliss-Regular"/>
                <w:color w:val="000000"/>
              </w:rPr>
              <w:t>29.10.2018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B0C" w:rsidRDefault="00B71B0C" w:rsidP="00CB4D0A">
      <w:pPr>
        <w:spacing w:after="0" w:line="240" w:lineRule="auto"/>
      </w:pPr>
      <w:r>
        <w:separator/>
      </w:r>
    </w:p>
  </w:endnote>
  <w:endnote w:type="continuationSeparator" w:id="1">
    <w:p w:rsidR="00B71B0C" w:rsidRDefault="00B71B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B0C" w:rsidRDefault="00B71B0C" w:rsidP="00CB4D0A">
      <w:pPr>
        <w:spacing w:after="0" w:line="240" w:lineRule="auto"/>
      </w:pPr>
      <w:r>
        <w:separator/>
      </w:r>
    </w:p>
  </w:footnote>
  <w:footnote w:type="continuationSeparator" w:id="1">
    <w:p w:rsidR="00B71B0C" w:rsidRDefault="00B71B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37363"/>
    <w:multiLevelType w:val="hybridMultilevel"/>
    <w:tmpl w:val="F5A431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58FC"/>
    <w:rsid w:val="001175EE"/>
    <w:rsid w:val="00157CF6"/>
    <w:rsid w:val="00182416"/>
    <w:rsid w:val="00187EB4"/>
    <w:rsid w:val="001F0481"/>
    <w:rsid w:val="00200C92"/>
    <w:rsid w:val="0020451E"/>
    <w:rsid w:val="00206B9D"/>
    <w:rsid w:val="0023259C"/>
    <w:rsid w:val="0025321B"/>
    <w:rsid w:val="002B0BD7"/>
    <w:rsid w:val="002B573D"/>
    <w:rsid w:val="002C5CB2"/>
    <w:rsid w:val="002F779F"/>
    <w:rsid w:val="00371885"/>
    <w:rsid w:val="003E2B87"/>
    <w:rsid w:val="00402786"/>
    <w:rsid w:val="00405895"/>
    <w:rsid w:val="004058DF"/>
    <w:rsid w:val="00443E6F"/>
    <w:rsid w:val="00486F1A"/>
    <w:rsid w:val="00490C51"/>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7ED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1991"/>
    <w:rsid w:val="00B71B0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90C51"/>
    <w:rPr>
      <w:b/>
      <w:bCs/>
    </w:rPr>
  </w:style>
  <w:style w:type="paragraph" w:styleId="NormalWeb">
    <w:name w:val="Normal (Web)"/>
    <w:basedOn w:val="Normal"/>
    <w:uiPriority w:val="99"/>
    <w:unhideWhenUsed/>
    <w:rsid w:val="00490C5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90C51"/>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Arvind Dhiman</cp:lastModifiedBy>
  <cp:revision>2</cp:revision>
  <dcterms:created xsi:type="dcterms:W3CDTF">2018-10-29T13:11:00Z</dcterms:created>
  <dcterms:modified xsi:type="dcterms:W3CDTF">2018-10-29T13:11:00Z</dcterms:modified>
</cp:coreProperties>
</file>