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73B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B96">
            <w:pPr>
              <w:pStyle w:val="Default"/>
              <w:rPr>
                <w:rFonts w:asciiTheme="minorHAnsi" w:hAnsiTheme="minorHAnsi"/>
              </w:rPr>
            </w:pPr>
            <w:r>
              <w:rPr>
                <w:rFonts w:asciiTheme="minorHAnsi" w:hAnsiTheme="minorHAnsi"/>
              </w:rPr>
              <w:t>EMMANUEL CHIBWE KAPICHILA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3B96">
            <w:pPr>
              <w:pStyle w:val="Default"/>
              <w:rPr>
                <w:rFonts w:asciiTheme="minorHAnsi" w:hAnsiTheme="minorHAnsi"/>
              </w:rPr>
            </w:pPr>
            <w:r>
              <w:rPr>
                <w:rFonts w:asciiTheme="minorHAnsi" w:hAnsiTheme="minorHAnsi"/>
              </w:rPr>
              <w:t>8302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F93">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84E">
            <w:r>
              <w:t>7- OBTAINING AND EVALUATING NON-FINANCIAL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A4901" w:rsidRDefault="00CC2FB3" w:rsidP="001A4901">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1A4901">
              <w:rPr>
                <w:rFonts w:ascii="Arial" w:hAnsi="Arial" w:cs="Arial"/>
                <w:sz w:val="24"/>
                <w:szCs w:val="24"/>
              </w:rPr>
              <w:t xml:space="preserve"> </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 xml:space="preserve">1.  </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i. Non-financial sources for evidence are evidence gathered in conduct of an investigation which involve other sources not related to the processing of the financial products like the usual documents such as financial statements.</w:t>
            </w:r>
            <w:r w:rsidRPr="0048184E">
              <w:rPr>
                <w:rFonts w:ascii="Calibri" w:eastAsia="Calibri" w:hAnsi="Calibri" w:cs="Times New Roman"/>
              </w:rPr>
              <w:t xml:space="preserve"> </w:t>
            </w:r>
            <w:r w:rsidRPr="0048184E">
              <w:rPr>
                <w:rFonts w:ascii="Arial" w:eastAsia="Calibri" w:hAnsi="Arial" w:cs="Arial"/>
                <w:sz w:val="24"/>
                <w:szCs w:val="24"/>
              </w:rPr>
              <w:t>Non-financial sources of evidence range from interviews, handwriting analysis and document examination to the physiological traits of the fraudster. Physiological traits refer to the fraudster’s behaviour, expressions, or any communication that indicates the fraudster’s involvement in the crime.</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ii. The importance of body language in the interview procedure is that humans reveal much more through their body language than through their words, especially when they are under stress; therefore, an interviewer should always observe gestures and non-verbal behaviour. A person’s gestures and facial expressions are indicators of his/her emotions. Usually a person displaying these movements is unaware of them. Indicators of a person’s emotions include body language such as speed of talking, pitch of voice, crossing the arms or legs, and other such gestures. A well trained and experienced fraud investigator will watch out for signs of stress through a process called calibration. This process gauges a witness’s candor.</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 xml:space="preserve">iii. SCAN analysis is a technique for analyzing the words people use to try to determine if what they said is accurate. It can be used to detect concealed information, missing information, and whether the information that person has provided is true. It involves an investigator searching for linguistic cues and gaps in a subject’s testimony or preliminary statements. Ideally, the technique would guide investigator to ask follow-up questions to uncover discrepancies. The analyst needs </w:t>
            </w:r>
            <w:r w:rsidRPr="0048184E">
              <w:rPr>
                <w:rFonts w:ascii="Arial" w:eastAsia="Calibri" w:hAnsi="Arial" w:cs="Arial"/>
                <w:sz w:val="24"/>
                <w:szCs w:val="24"/>
              </w:rPr>
              <w:lastRenderedPageBreak/>
              <w:t xml:space="preserve">an unambiguous, truthful statement from the suspect in order for SCAN to be effective. Like statement analysis, SCAN looks for a shift in pronouns and gaps in the narrative, which indicate deception. Feigning ignorance (saying “I do not know” often) is considered an attempt to conceal truthful facts, and a change in tense reflects a strong emotional response. In addition to those discussed here, SCAN uses numerous other techniques. According to some experts, it is as effective as a polygraph test. However, both polygraph tests and SCAN are investigative tools and are not legally admissible evidence. </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iv. Visual Accessing Cues (VAC) refers to the language of the eyes and the principles related to it.</w:t>
            </w:r>
            <w:r w:rsidRPr="0048184E">
              <w:rPr>
                <w:rFonts w:ascii="Calibri" w:eastAsia="Calibri" w:hAnsi="Calibri" w:cs="Times New Roman"/>
              </w:rPr>
              <w:t xml:space="preserve"> </w:t>
            </w:r>
            <w:r w:rsidRPr="0048184E">
              <w:rPr>
                <w:rFonts w:ascii="Arial" w:eastAsia="Calibri" w:hAnsi="Arial" w:cs="Arial"/>
                <w:sz w:val="24"/>
                <w:szCs w:val="24"/>
              </w:rPr>
              <w:t>Eye language is a more reliable indicator of truthfulness. According to most experts, the eyes are the most communicative part of the body. The eyes of the victim works by;</w:t>
            </w:r>
            <w:r w:rsidRPr="0048184E">
              <w:rPr>
                <w:rFonts w:ascii="Calibri" w:eastAsia="Calibri" w:hAnsi="Calibri" w:cs="Times New Roman"/>
              </w:rPr>
              <w:t xml:space="preserve"> </w:t>
            </w:r>
            <w:r w:rsidRPr="0048184E">
              <w:rPr>
                <w:rFonts w:ascii="Arial" w:eastAsia="Calibri" w:hAnsi="Arial" w:cs="Arial"/>
                <w:sz w:val="24"/>
                <w:szCs w:val="24"/>
              </w:rPr>
              <w:t>when interviewees are asked a question that requires them to recall something, their eye movements betray whether the thought process is truthful or deceptive.</w:t>
            </w:r>
            <w:r w:rsidRPr="0048184E">
              <w:rPr>
                <w:rFonts w:ascii="Calibri" w:eastAsia="Calibri" w:hAnsi="Calibri" w:cs="Times New Roman"/>
              </w:rPr>
              <w:t xml:space="preserve"> </w:t>
            </w:r>
            <w:r w:rsidRPr="0048184E">
              <w:rPr>
                <w:rFonts w:ascii="Arial" w:eastAsia="Calibri" w:hAnsi="Arial" w:cs="Arial"/>
                <w:sz w:val="24"/>
                <w:szCs w:val="24"/>
              </w:rPr>
              <w:t xml:space="preserve">Blinking is also a part of eye language principles. Normally, a person blinks about 20 times per minute, and each blink lasts about a quarter of a second. When a person is under stress, he/she tends to blink faster and more frequently. Other eye language cues include: </w:t>
            </w:r>
          </w:p>
          <w:p w:rsidR="0048184E" w:rsidRPr="0048184E" w:rsidRDefault="0048184E" w:rsidP="0048184E">
            <w:pPr>
              <w:numPr>
                <w:ilvl w:val="0"/>
                <w:numId w:val="24"/>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Gazing downward. This normally indicates guilt, defeat or submission. </w:t>
            </w:r>
          </w:p>
          <w:p w:rsidR="0048184E" w:rsidRPr="0048184E" w:rsidRDefault="0048184E" w:rsidP="0048184E">
            <w:pPr>
              <w:numPr>
                <w:ilvl w:val="0"/>
                <w:numId w:val="24"/>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Raising eyebrows. This indicates surprise, disbelief, frustration or uncertainty. </w:t>
            </w:r>
          </w:p>
          <w:p w:rsidR="0048184E" w:rsidRPr="0048184E" w:rsidRDefault="0048184E" w:rsidP="0048184E">
            <w:pPr>
              <w:numPr>
                <w:ilvl w:val="0"/>
                <w:numId w:val="24"/>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Raising one eyebrow with head tilted back signifies arrogance or disdain. </w:t>
            </w:r>
          </w:p>
          <w:p w:rsidR="0048184E" w:rsidRPr="0048184E" w:rsidRDefault="0048184E" w:rsidP="0048184E">
            <w:pPr>
              <w:numPr>
                <w:ilvl w:val="0"/>
                <w:numId w:val="24"/>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Dilation of pupils indicates interest in something.</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Note that, eye movement cues and interpretations are only applicable to right-handed people. Therefore it is important to know whether the interviewee is left-handed or right-handed in order to interpret the cues correctly and to avoid interpreting truthful responses as deceitful.</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 xml:space="preserve">v. Other cues, in addition to those listed under body language indicators, can also be used to identify deception. These include the following: </w:t>
            </w:r>
          </w:p>
          <w:p w:rsidR="0048184E" w:rsidRPr="0048184E" w:rsidRDefault="0048184E" w:rsidP="0048184E">
            <w:pPr>
              <w:numPr>
                <w:ilvl w:val="0"/>
                <w:numId w:val="25"/>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Interpersonal interactions. For example, a person may shake his head and say “yes” after making a point; these are inconsistent gestures. </w:t>
            </w:r>
          </w:p>
          <w:p w:rsidR="0048184E" w:rsidRPr="0048184E" w:rsidRDefault="0048184E" w:rsidP="0048184E">
            <w:pPr>
              <w:numPr>
                <w:ilvl w:val="0"/>
                <w:numId w:val="25"/>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Emotional states. A deceitful person will usually avoid touching the person investigating or questioning him/her. </w:t>
            </w:r>
          </w:p>
          <w:p w:rsidR="0048184E" w:rsidRPr="0048184E" w:rsidRDefault="0048184E" w:rsidP="0048184E">
            <w:pPr>
              <w:numPr>
                <w:ilvl w:val="0"/>
                <w:numId w:val="25"/>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Verbal content. For example, reflecting the question in the answer immediately after the question has been asked. Question: “Did you write a cheque to yourself?” Answer: “No, I did not write a cheque to myself.” </w:t>
            </w:r>
          </w:p>
          <w:p w:rsidR="0048184E" w:rsidRPr="0048184E" w:rsidRDefault="0048184E" w:rsidP="0048184E">
            <w:pPr>
              <w:numPr>
                <w:ilvl w:val="0"/>
                <w:numId w:val="25"/>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 xml:space="preserve">How comments are phrased. Replacing the pronoun in order to disassociate people or events, for example using “the equipment” instead of “my equipment”. </w:t>
            </w:r>
          </w:p>
          <w:p w:rsidR="0048184E" w:rsidRDefault="0048184E" w:rsidP="0048184E">
            <w:pPr>
              <w:numPr>
                <w:ilvl w:val="0"/>
                <w:numId w:val="25"/>
              </w:numPr>
              <w:spacing w:after="160" w:line="259" w:lineRule="auto"/>
              <w:contextualSpacing/>
              <w:jc w:val="both"/>
              <w:rPr>
                <w:rFonts w:ascii="Arial" w:eastAsia="Calibri" w:hAnsi="Arial" w:cs="Arial"/>
                <w:sz w:val="24"/>
                <w:szCs w:val="24"/>
              </w:rPr>
            </w:pPr>
            <w:r w:rsidRPr="0048184E">
              <w:rPr>
                <w:rFonts w:ascii="Arial" w:eastAsia="Calibri" w:hAnsi="Arial" w:cs="Arial"/>
                <w:sz w:val="24"/>
                <w:szCs w:val="24"/>
              </w:rPr>
              <w:t>Psychological frames. Lies and deceitful statements always leave out details of what went wrong, except for details related to delays and cancellations.</w:t>
            </w:r>
          </w:p>
          <w:p w:rsidR="0048184E" w:rsidRPr="0048184E" w:rsidRDefault="0048184E" w:rsidP="0048184E">
            <w:pPr>
              <w:spacing w:after="160" w:line="259" w:lineRule="auto"/>
              <w:ind w:left="720"/>
              <w:contextualSpacing/>
              <w:jc w:val="both"/>
              <w:rPr>
                <w:rFonts w:ascii="Arial" w:eastAsia="Calibri" w:hAnsi="Arial" w:cs="Arial"/>
                <w:sz w:val="24"/>
                <w:szCs w:val="24"/>
              </w:rPr>
            </w:pPr>
            <w:bookmarkStart w:id="0" w:name="_GoBack"/>
            <w:bookmarkEnd w:id="0"/>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 xml:space="preserve">2. The job of auditors in an external or internal audit is to ask questions. However, there is a difference between asking questions during an audit and during a fraud investigation. The difference is that, firstly, in order to ask effective questions during a fraud investigation, it is important to use best practices for interview techniques. </w:t>
            </w:r>
            <w:r w:rsidRPr="0048184E">
              <w:rPr>
                <w:rFonts w:ascii="Arial" w:eastAsia="Calibri" w:hAnsi="Arial" w:cs="Arial"/>
                <w:sz w:val="24"/>
                <w:szCs w:val="24"/>
              </w:rPr>
              <w:lastRenderedPageBreak/>
              <w:t>According to the founder of the Association of Certified Fraud Examiners (ACFE), Joe Wells, ‘‘the best clues usually don’t come from the books but from the people who work with them.’’ Questions asked during an interview might fall into any of the following categories: (i) introductory, (ii) informational, (iii) assessment, (iv) closing, (v) admission-seeking. According to most experts, open-ended questions are much more effective than simple “yes” or “no” questions.  Secondly, one of the risks associated with interviews during a fraud investigation is that the interviewer may not be trained or experienced in employing best practices for interviews, or worse, may not be familiar with the legal protocol of carrying out interviews. In the event of the latter, the case may not reach a desirable conclusion and may even provoke a counter-lawsuit.</w:t>
            </w:r>
          </w:p>
          <w:p w:rsidR="0048184E" w:rsidRPr="0048184E" w:rsidRDefault="0048184E" w:rsidP="0048184E">
            <w:pPr>
              <w:spacing w:after="160" w:line="259" w:lineRule="auto"/>
              <w:jc w:val="both"/>
              <w:rPr>
                <w:rFonts w:ascii="Arial" w:eastAsia="Calibri" w:hAnsi="Arial" w:cs="Arial"/>
                <w:sz w:val="24"/>
                <w:szCs w:val="24"/>
              </w:rPr>
            </w:pPr>
            <w:r w:rsidRPr="0048184E">
              <w:rPr>
                <w:rFonts w:ascii="Arial" w:eastAsia="Calibri" w:hAnsi="Arial" w:cs="Arial"/>
                <w:sz w:val="24"/>
                <w:szCs w:val="24"/>
              </w:rPr>
              <w:t>3. When interviewing a financially sophisticated victim it is important to conduct the interview in a well prepared manner such that it should closely follow a step by step approach. Such steps nevertheless should include the following; prepare yourself, as these are sophisticated individuals so the interviewer need to have at least all necessary documents and facts about the case and be ready both in state of mind and body. The interviewer also need to think before the interview, Humans reveal much more through their body language than through their words, especially when they are under stress; therefore, an interviewer should always observe gestures and non-verbal behaviour. A well trained and experienced fraud investigator will watch out for signs of stress through a process called calibration. This process gauges a witness’s candour. The interviewer must also set the tone of the interview,</w:t>
            </w:r>
            <w:r w:rsidRPr="0048184E">
              <w:rPr>
                <w:rFonts w:ascii="Calibri" w:eastAsia="Calibri" w:hAnsi="Calibri" w:cs="Times New Roman"/>
              </w:rPr>
              <w:t xml:space="preserve"> </w:t>
            </w:r>
            <w:r w:rsidRPr="0048184E">
              <w:rPr>
                <w:rFonts w:ascii="Arial" w:eastAsia="Calibri" w:hAnsi="Arial" w:cs="Arial"/>
                <w:sz w:val="24"/>
                <w:szCs w:val="24"/>
              </w:rPr>
              <w:t>this means dressing appropriately, displaying good social skills, introducing himself/herself properly, and developing a rapport with the interviewee. The questions should be well paced, i.e. not too fast, not too slow, and not too long, thereby ensuring that the interviewee is comfortable with the process. Tough questions should be asked after a few easy ones to make them appear less intimidating. The interviewer also need to ask question in a flow and be direct to the point.</w:t>
            </w:r>
            <w:r w:rsidRPr="0048184E">
              <w:rPr>
                <w:rFonts w:ascii="Calibri" w:eastAsia="Calibri" w:hAnsi="Calibri" w:cs="Times New Roman"/>
              </w:rPr>
              <w:t xml:space="preserve"> </w:t>
            </w:r>
            <w:r w:rsidRPr="0048184E">
              <w:rPr>
                <w:rFonts w:ascii="Arial" w:eastAsia="Calibri" w:hAnsi="Arial" w:cs="Arial"/>
                <w:sz w:val="24"/>
                <w:szCs w:val="24"/>
              </w:rPr>
              <w:t xml:space="preserve">It is important for the interviewer to listen and let the interviewee talk more, making it more difficult for the latter to conceal facts or deceive. This will also give the interviewer indicators of the interviewee’s deception. The more an interviewer talks, the more the subject will learn and the more time he/she will have to articulate the answers. The interviewer should have an open, straightforward approach and be as honest as possible without compromising on the interview process. A secretive or aggressive approach may cause the interviewee to become defensive, which would defeat the whole purpose of the process. The interviewer should take time and ensure that he/she has received satisfactory answers. Typically, honest people do not become agitated by follow-up questions, whereas deceptive people become impatient and try to avoid answering. The interviewer must ensure that he/she has elicited all the facts. Another trick is to double-check facts already obtained during the interview. An investigation may be irreparably damaged if a person contradicts his/her own testimony later. The interviewer might use a tape recorder, but at the risk of spoiling the rapport with the interviewee. A guilty person, in particular, is likely to take offence at the use of a tape recorder and may even become nervous and evasive. In a fraud investigation, the main purpose of an interview is to get the suspect to become the subject of the interview and to obtain a signed confession </w:t>
            </w:r>
            <w:r w:rsidRPr="0048184E">
              <w:rPr>
                <w:rFonts w:ascii="Arial" w:eastAsia="Calibri" w:hAnsi="Arial" w:cs="Arial"/>
                <w:sz w:val="24"/>
                <w:szCs w:val="24"/>
              </w:rPr>
              <w:lastRenderedPageBreak/>
              <w:t>from him/her. This is known as an admission-seeking interview. A written confession signed by the perpetrator of fraud is the one of the most powerful pieces of evidence in court. Dan Rabon is considered a leading expert in conducting effective interviews. In his book, he lists some indicators of deception, such as excessive sweating and dry mouth; these are calibration cues and they may be useful during interviews.</w:t>
            </w:r>
          </w:p>
          <w:p w:rsidR="001F2EB2" w:rsidRPr="00ED0C08" w:rsidRDefault="001F2EB2" w:rsidP="0048184E">
            <w:pPr>
              <w:jc w:val="both"/>
              <w:rPr>
                <w:rFonts w:ascii="Arial" w:hAnsi="Arial" w:cs="Arial"/>
                <w:sz w:val="24"/>
                <w:szCs w:val="24"/>
              </w:rPr>
            </w:pPr>
          </w:p>
          <w:p w:rsidR="009B371F" w:rsidRPr="0097260F" w:rsidRDefault="009B371F" w:rsidP="0097260F">
            <w:pPr>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6A98" w:rsidP="00A851DA">
            <w:pPr>
              <w:rPr>
                <w:rFonts w:cs="Bliss-Regular"/>
                <w:color w:val="000000"/>
              </w:rPr>
            </w:pPr>
            <w:r>
              <w:rPr>
                <w:rFonts w:cs="Bliss-Regular"/>
                <w:color w:val="000000"/>
              </w:rPr>
              <w:t>E.C kapichila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184E" w:rsidP="00A851DA">
            <w:pPr>
              <w:rPr>
                <w:rFonts w:cs="Bliss-Regular"/>
                <w:color w:val="000000"/>
              </w:rPr>
            </w:pPr>
            <w:r>
              <w:rPr>
                <w:rFonts w:cs="Bliss-Regular"/>
                <w:color w:val="000000"/>
              </w:rPr>
              <w:t>12</w:t>
            </w:r>
            <w:r w:rsidR="001A4901">
              <w:rPr>
                <w:rFonts w:cs="Bliss-Regular"/>
                <w:color w:val="000000"/>
              </w:rPr>
              <w:t>/06</w:t>
            </w:r>
            <w:r w:rsidR="00DE6A98">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3BC" w:rsidRDefault="008A73BC" w:rsidP="00CB4D0A">
      <w:pPr>
        <w:spacing w:after="0" w:line="240" w:lineRule="auto"/>
      </w:pPr>
      <w:r>
        <w:separator/>
      </w:r>
    </w:p>
  </w:endnote>
  <w:endnote w:type="continuationSeparator" w:id="0">
    <w:p w:rsidR="008A73BC" w:rsidRDefault="008A73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3BC" w:rsidRDefault="008A73BC" w:rsidP="00CB4D0A">
      <w:pPr>
        <w:spacing w:after="0" w:line="240" w:lineRule="auto"/>
      </w:pPr>
      <w:r>
        <w:separator/>
      </w:r>
    </w:p>
  </w:footnote>
  <w:footnote w:type="continuationSeparator" w:id="0">
    <w:p w:rsidR="008A73BC" w:rsidRDefault="008A73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2724D"/>
    <w:multiLevelType w:val="hybridMultilevel"/>
    <w:tmpl w:val="716838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A5A57EF"/>
    <w:multiLevelType w:val="hybridMultilevel"/>
    <w:tmpl w:val="5E08CD8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77354D"/>
    <w:multiLevelType w:val="hybridMultilevel"/>
    <w:tmpl w:val="176CDCA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834A1"/>
    <w:multiLevelType w:val="hybridMultilevel"/>
    <w:tmpl w:val="3CD66548"/>
    <w:lvl w:ilvl="0" w:tplc="4CD871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57539"/>
    <w:multiLevelType w:val="hybridMultilevel"/>
    <w:tmpl w:val="8170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53EE7"/>
    <w:multiLevelType w:val="hybridMultilevel"/>
    <w:tmpl w:val="EC062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06E4D"/>
    <w:multiLevelType w:val="hybridMultilevel"/>
    <w:tmpl w:val="CDCA6144"/>
    <w:lvl w:ilvl="0" w:tplc="D5805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710B5"/>
    <w:multiLevelType w:val="hybridMultilevel"/>
    <w:tmpl w:val="62BAD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FD11AC"/>
    <w:multiLevelType w:val="hybridMultilevel"/>
    <w:tmpl w:val="4884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E940B5"/>
    <w:multiLevelType w:val="hybridMultilevel"/>
    <w:tmpl w:val="D902D9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9BF0E36"/>
    <w:multiLevelType w:val="hybridMultilevel"/>
    <w:tmpl w:val="357C3E02"/>
    <w:lvl w:ilvl="0" w:tplc="D4A0A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5150B"/>
    <w:multiLevelType w:val="hybridMultilevel"/>
    <w:tmpl w:val="FAF41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5D5EE6"/>
    <w:multiLevelType w:val="hybridMultilevel"/>
    <w:tmpl w:val="D5023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734C58"/>
    <w:multiLevelType w:val="hybridMultilevel"/>
    <w:tmpl w:val="0E6A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CF0743"/>
    <w:multiLevelType w:val="hybridMultilevel"/>
    <w:tmpl w:val="910C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6312B2"/>
    <w:multiLevelType w:val="hybridMultilevel"/>
    <w:tmpl w:val="B01C97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BC1771"/>
    <w:multiLevelType w:val="hybridMultilevel"/>
    <w:tmpl w:val="DDF6D91C"/>
    <w:lvl w:ilvl="0" w:tplc="CA244D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D65B3"/>
    <w:multiLevelType w:val="hybridMultilevel"/>
    <w:tmpl w:val="BD76F1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E00693E"/>
    <w:multiLevelType w:val="hybridMultilevel"/>
    <w:tmpl w:val="7FECF162"/>
    <w:lvl w:ilvl="0" w:tplc="46AA3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51638B"/>
    <w:multiLevelType w:val="hybridMultilevel"/>
    <w:tmpl w:val="30DE0E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08A4D0C"/>
    <w:multiLevelType w:val="hybridMultilevel"/>
    <w:tmpl w:val="353498D0"/>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1094FB9"/>
    <w:multiLevelType w:val="hybridMultilevel"/>
    <w:tmpl w:val="B922E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193C5E"/>
    <w:multiLevelType w:val="hybridMultilevel"/>
    <w:tmpl w:val="02FCDEEE"/>
    <w:lvl w:ilvl="0" w:tplc="92D437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B22B4F"/>
    <w:multiLevelType w:val="hybridMultilevel"/>
    <w:tmpl w:val="7FBCD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
  </w:num>
  <w:num w:numId="4">
    <w:abstractNumId w:val="9"/>
  </w:num>
  <w:num w:numId="5">
    <w:abstractNumId w:val="1"/>
  </w:num>
  <w:num w:numId="6">
    <w:abstractNumId w:val="15"/>
  </w:num>
  <w:num w:numId="7">
    <w:abstractNumId w:val="21"/>
  </w:num>
  <w:num w:numId="8">
    <w:abstractNumId w:val="13"/>
  </w:num>
  <w:num w:numId="9">
    <w:abstractNumId w:val="5"/>
  </w:num>
  <w:num w:numId="10">
    <w:abstractNumId w:val="11"/>
  </w:num>
  <w:num w:numId="11">
    <w:abstractNumId w:val="14"/>
  </w:num>
  <w:num w:numId="12">
    <w:abstractNumId w:val="8"/>
  </w:num>
  <w:num w:numId="13">
    <w:abstractNumId w:val="12"/>
  </w:num>
  <w:num w:numId="14">
    <w:abstractNumId w:val="23"/>
  </w:num>
  <w:num w:numId="15">
    <w:abstractNumId w:val="4"/>
  </w:num>
  <w:num w:numId="16">
    <w:abstractNumId w:val="20"/>
  </w:num>
  <w:num w:numId="17">
    <w:abstractNumId w:val="6"/>
  </w:num>
  <w:num w:numId="18">
    <w:abstractNumId w:val="10"/>
  </w:num>
  <w:num w:numId="19">
    <w:abstractNumId w:val="3"/>
  </w:num>
  <w:num w:numId="20">
    <w:abstractNumId w:val="17"/>
  </w:num>
  <w:num w:numId="21">
    <w:abstractNumId w:val="18"/>
  </w:num>
  <w:num w:numId="22">
    <w:abstractNumId w:val="0"/>
  </w:num>
  <w:num w:numId="23">
    <w:abstractNumId w:val="19"/>
  </w:num>
  <w:num w:numId="24">
    <w:abstractNumId w:val="7"/>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4901"/>
    <w:rsid w:val="001F0481"/>
    <w:rsid w:val="001F2EB2"/>
    <w:rsid w:val="00200C92"/>
    <w:rsid w:val="0020451E"/>
    <w:rsid w:val="002054CB"/>
    <w:rsid w:val="00206B9D"/>
    <w:rsid w:val="0023259C"/>
    <w:rsid w:val="002B0BD7"/>
    <w:rsid w:val="002B573D"/>
    <w:rsid w:val="002C5CB2"/>
    <w:rsid w:val="002D784B"/>
    <w:rsid w:val="002F779F"/>
    <w:rsid w:val="00371885"/>
    <w:rsid w:val="003E2B87"/>
    <w:rsid w:val="00402786"/>
    <w:rsid w:val="00405895"/>
    <w:rsid w:val="004058DF"/>
    <w:rsid w:val="004138A8"/>
    <w:rsid w:val="00443E6F"/>
    <w:rsid w:val="0047600B"/>
    <w:rsid w:val="0048184E"/>
    <w:rsid w:val="00486F1A"/>
    <w:rsid w:val="00490CB9"/>
    <w:rsid w:val="004A2CE2"/>
    <w:rsid w:val="004E3CDA"/>
    <w:rsid w:val="004E434C"/>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A73BC"/>
    <w:rsid w:val="008B3C31"/>
    <w:rsid w:val="008B64FE"/>
    <w:rsid w:val="0093297B"/>
    <w:rsid w:val="00935BF7"/>
    <w:rsid w:val="0095442C"/>
    <w:rsid w:val="0097260F"/>
    <w:rsid w:val="00983942"/>
    <w:rsid w:val="009B371F"/>
    <w:rsid w:val="009C37E0"/>
    <w:rsid w:val="009E41F4"/>
    <w:rsid w:val="00A14B66"/>
    <w:rsid w:val="00A65CF7"/>
    <w:rsid w:val="00A81AB4"/>
    <w:rsid w:val="00A851DA"/>
    <w:rsid w:val="00AC7D5B"/>
    <w:rsid w:val="00AD2B82"/>
    <w:rsid w:val="00AE1481"/>
    <w:rsid w:val="00AE3B96"/>
    <w:rsid w:val="00B0415E"/>
    <w:rsid w:val="00B04678"/>
    <w:rsid w:val="00B641C0"/>
    <w:rsid w:val="00B704C6"/>
    <w:rsid w:val="00BC46DF"/>
    <w:rsid w:val="00C03577"/>
    <w:rsid w:val="00C53029"/>
    <w:rsid w:val="00C65FEA"/>
    <w:rsid w:val="00CA0AC2"/>
    <w:rsid w:val="00CB4D0A"/>
    <w:rsid w:val="00CC2FB3"/>
    <w:rsid w:val="00CC575A"/>
    <w:rsid w:val="00CD1F93"/>
    <w:rsid w:val="00CF123B"/>
    <w:rsid w:val="00D039AC"/>
    <w:rsid w:val="00D427DE"/>
    <w:rsid w:val="00D5587D"/>
    <w:rsid w:val="00D62A36"/>
    <w:rsid w:val="00D707CC"/>
    <w:rsid w:val="00D821FE"/>
    <w:rsid w:val="00DB0793"/>
    <w:rsid w:val="00DE6A98"/>
    <w:rsid w:val="00E00821"/>
    <w:rsid w:val="00E04DB4"/>
    <w:rsid w:val="00E30679"/>
    <w:rsid w:val="00E4597D"/>
    <w:rsid w:val="00E50D3F"/>
    <w:rsid w:val="00E54832"/>
    <w:rsid w:val="00E56A90"/>
    <w:rsid w:val="00E641CC"/>
    <w:rsid w:val="00E96D13"/>
    <w:rsid w:val="00EA30AB"/>
    <w:rsid w:val="00EB3925"/>
    <w:rsid w:val="00F935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42F7A7-6742-4424-843E-7F681914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7CCDC-C375-4B28-A266-BD294E757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 Kapichila</cp:lastModifiedBy>
  <cp:revision>13</cp:revision>
  <dcterms:created xsi:type="dcterms:W3CDTF">2015-01-26T12:24:00Z</dcterms:created>
  <dcterms:modified xsi:type="dcterms:W3CDTF">2017-06-12T13:57:00Z</dcterms:modified>
</cp:coreProperties>
</file>