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B90CFD">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4835" w:rsidP="00B90CFD">
      <w:pPr>
        <w:spacing w:line="360" w:lineRule="auto"/>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B90CFD">
      <w:pPr>
        <w:spacing w:line="360" w:lineRule="auto"/>
        <w:rPr>
          <w:lang w:val="en-US"/>
        </w:rPr>
      </w:pPr>
    </w:p>
    <w:p w:rsidR="00607874" w:rsidRDefault="00607874" w:rsidP="00B90CFD">
      <w:pPr>
        <w:spacing w:line="360" w:lineRule="auto"/>
        <w:rPr>
          <w:lang w:val="en-US"/>
        </w:rPr>
      </w:pPr>
    </w:p>
    <w:p w:rsidR="00607874" w:rsidRDefault="00607874" w:rsidP="00B90CFD">
      <w:pPr>
        <w:spacing w:line="360" w:lineRule="auto"/>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Ellen Theresa Spender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1E92" w:rsidP="00B90CFD">
            <w:pPr>
              <w:pStyle w:val="Default"/>
              <w:spacing w:line="360" w:lineRule="auto"/>
              <w:rPr>
                <w:rFonts w:asciiTheme="minorHAnsi" w:hAnsiTheme="minorHAnsi"/>
              </w:rPr>
            </w:pPr>
            <w:r>
              <w:rPr>
                <w:rFonts w:asciiTheme="minorHAnsi" w:hAnsiTheme="minorHAnsi"/>
              </w:rPr>
              <w:t>25042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487A" w:rsidP="00B90CFD">
            <w:pPr>
              <w:spacing w:line="360" w:lineRule="auto"/>
            </w:pPr>
            <w:r>
              <w:t>5  The Investigative Process</w:t>
            </w:r>
          </w:p>
        </w:tc>
      </w:tr>
    </w:tbl>
    <w:p w:rsidR="00CC2FB3" w:rsidRDefault="00CC2FB3" w:rsidP="00B90CFD">
      <w:pPr>
        <w:spacing w:line="360" w:lineRule="auto"/>
        <w:rPr>
          <w:b/>
          <w:lang w:val="en-US"/>
        </w:rPr>
      </w:pPr>
    </w:p>
    <w:p w:rsidR="00443E6F" w:rsidRDefault="00527C11" w:rsidP="00B90CFD">
      <w:pPr>
        <w:spacing w:line="360" w:lineRule="auto"/>
        <w:rPr>
          <w:b/>
          <w:sz w:val="28"/>
          <w:lang w:val="en-US"/>
        </w:rPr>
      </w:pPr>
      <w:r w:rsidRPr="00443E6F">
        <w:rPr>
          <w:b/>
          <w:sz w:val="28"/>
          <w:lang w:val="en-US"/>
        </w:rPr>
        <w:t>Marking Criteria:</w:t>
      </w:r>
    </w:p>
    <w:p w:rsidR="00443E6F" w:rsidRDefault="00527C11" w:rsidP="00B90CFD">
      <w:pPr>
        <w:spacing w:line="360" w:lineRule="auto"/>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B90CFD">
      <w:pPr>
        <w:spacing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B90CFD" w:rsidRDefault="00B90CFD">
      <w:r>
        <w:br w:type="page"/>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2B28B0" w:rsidP="00B90CFD">
            <w:pPr>
              <w:spacing w:line="360" w:lineRule="auto"/>
              <w:rPr>
                <w:rFonts w:ascii="Arial" w:hAnsi="Arial" w:cs="Arial"/>
                <w:sz w:val="24"/>
                <w:szCs w:val="24"/>
              </w:rPr>
            </w:pPr>
            <w:r>
              <w:rPr>
                <w:lang w:val="en-GB"/>
              </w:rPr>
              <w:lastRenderedPageBreak/>
              <w:br w:type="page"/>
            </w:r>
            <w:r w:rsidR="00CC2FB3"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CC2FB3" w:rsidRPr="00CC2FB3">
              <w:rPr>
                <w:rFonts w:ascii="Arial" w:hAnsi="Arial" w:cs="Arial"/>
                <w:sz w:val="24"/>
                <w:szCs w:val="24"/>
              </w:rPr>
              <w:t xml:space="preserve"> here:</w:t>
            </w:r>
          </w:p>
          <w:p w:rsidR="006B487A" w:rsidRPr="006B487A" w:rsidRDefault="006B487A" w:rsidP="006B487A">
            <w:pPr>
              <w:spacing w:after="160" w:line="360" w:lineRule="auto"/>
              <w:jc w:val="center"/>
              <w:rPr>
                <w:rFonts w:ascii="Arial" w:eastAsia="Calibri" w:hAnsi="Arial" w:cs="Arial"/>
                <w:b/>
                <w:sz w:val="24"/>
                <w:szCs w:val="24"/>
              </w:rPr>
            </w:pPr>
            <w:r w:rsidRPr="006B487A">
              <w:rPr>
                <w:rFonts w:ascii="Arial" w:eastAsia="Calibri" w:hAnsi="Arial" w:cs="Arial"/>
                <w:b/>
                <w:sz w:val="24"/>
                <w:szCs w:val="24"/>
              </w:rPr>
              <w:t>Assignment 5</w:t>
            </w:r>
          </w:p>
          <w:p w:rsidR="006B487A" w:rsidRPr="006B487A" w:rsidRDefault="006B487A" w:rsidP="006B487A">
            <w:pPr>
              <w:spacing w:after="160" w:line="360" w:lineRule="auto"/>
              <w:jc w:val="center"/>
              <w:rPr>
                <w:rFonts w:ascii="Arial" w:eastAsia="Calibri" w:hAnsi="Arial" w:cs="Arial"/>
                <w:b/>
                <w:sz w:val="24"/>
                <w:szCs w:val="24"/>
              </w:rPr>
            </w:pPr>
            <w:r w:rsidRPr="006B487A">
              <w:rPr>
                <w:rFonts w:ascii="Arial" w:eastAsia="Calibri" w:hAnsi="Arial" w:cs="Arial"/>
                <w:b/>
                <w:sz w:val="24"/>
                <w:szCs w:val="24"/>
              </w:rPr>
              <w:t>The Investigative Process</w:t>
            </w:r>
          </w:p>
          <w:p w:rsidR="006B487A" w:rsidRPr="006B487A" w:rsidRDefault="006B487A" w:rsidP="006B487A">
            <w:pPr>
              <w:spacing w:after="160" w:line="360" w:lineRule="auto"/>
              <w:jc w:val="center"/>
              <w:rPr>
                <w:rFonts w:ascii="Arial" w:eastAsia="Calibri" w:hAnsi="Arial" w:cs="Arial"/>
                <w:b/>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i.</w:t>
            </w:r>
            <w:r w:rsidRPr="006B487A">
              <w:rPr>
                <w:rFonts w:ascii="Arial" w:eastAsia="Calibri" w:hAnsi="Arial" w:cs="Arial"/>
                <w:b/>
                <w:sz w:val="24"/>
                <w:szCs w:val="24"/>
              </w:rPr>
              <w:tab/>
              <w:t>What is the difference between proactive and reactive investigations?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All investigations must go through the same common stages such as initiation, planning, execution, prosecution and ending in reflection.    There will also be mistakes, either in execution or with errors in judgement and these will influence the outcome of the investigation.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Both financial crime and non-financial crime have their sets of challenges.  Financial crime often requires more evidence and are more complex than most non-financial investigations such as murder.  The investigative process therefore, requires the most skilled and experienced investigators who understand the investigation process and the importance of minimising errors.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Silverstone et al (2012) divided this investigation of financial crimes into two general categories:  reactive and proactive.  Fig 1.</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Pr>
                <w:noProof/>
              </w:rPr>
              <w:pict>
                <v:line id="Straight Connector 2" o:spid="_x0000_s1035"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220.5pt,14.15pt" to="220.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" strokecolor="#5b9bd5" strokeweight=".5pt">
                  <v:stroke joinstyle="miter"/>
                </v:line>
              </w:pict>
            </w:r>
            <w:r w:rsidRPr="006B487A">
              <w:rPr>
                <w:rFonts w:ascii="Arial" w:eastAsia="Calibri" w:hAnsi="Arial" w:cs="Arial"/>
                <w:b/>
                <w:sz w:val="24"/>
                <w:szCs w:val="24"/>
              </w:rPr>
              <w:tab/>
            </w:r>
            <w:r w:rsidRPr="006B487A">
              <w:rPr>
                <w:rFonts w:ascii="Arial" w:eastAsia="Calibri" w:hAnsi="Arial" w:cs="Arial"/>
                <w:b/>
                <w:sz w:val="24"/>
                <w:szCs w:val="24"/>
              </w:rPr>
              <w:tab/>
            </w:r>
            <w:r w:rsidRPr="006B487A">
              <w:rPr>
                <w:rFonts w:ascii="Arial" w:eastAsia="Calibri" w:hAnsi="Arial" w:cs="Arial"/>
                <w:b/>
                <w:sz w:val="24"/>
                <w:szCs w:val="24"/>
              </w:rPr>
              <w:tab/>
            </w:r>
            <w:r w:rsidRPr="006B487A">
              <w:rPr>
                <w:rFonts w:ascii="Arial" w:eastAsia="Calibri" w:hAnsi="Arial" w:cs="Arial"/>
                <w:b/>
                <w:sz w:val="24"/>
                <w:szCs w:val="24"/>
              </w:rPr>
              <w:tab/>
            </w:r>
            <w:r w:rsidRPr="006B487A">
              <w:rPr>
                <w:rFonts w:ascii="Arial" w:eastAsia="Calibri" w:hAnsi="Arial" w:cs="Arial"/>
                <w:b/>
                <w:sz w:val="24"/>
                <w:szCs w:val="24"/>
              </w:rPr>
              <w:tab/>
              <w:t>Financial Crimes</w:t>
            </w:r>
          </w:p>
          <w:p w:rsidR="006B487A" w:rsidRPr="006B487A" w:rsidRDefault="006B487A" w:rsidP="006B487A">
            <w:pPr>
              <w:spacing w:after="160" w:line="360" w:lineRule="auto"/>
              <w:jc w:val="both"/>
              <w:rPr>
                <w:rFonts w:ascii="Arial" w:eastAsia="Calibri" w:hAnsi="Arial" w:cs="Arial"/>
                <w:sz w:val="24"/>
                <w:szCs w:val="24"/>
              </w:rPr>
            </w:pPr>
            <w:r>
              <w:rPr>
                <w:noProof/>
              </w:rPr>
              <w:pict>
                <v:line id="Straight Connector 4" o:spid="_x0000_s1034"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285.75pt,8.7pt" to="285.7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" strokecolor="#5b9bd5" strokeweight=".5pt">
                  <v:stroke joinstyle="miter"/>
                </v:line>
              </w:pict>
            </w:r>
            <w:r>
              <w:rPr>
                <w:noProof/>
              </w:rPr>
              <w:pict>
                <v:line id="Straight Connector 3" o:spid="_x0000_s1033"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153.75pt,8.7pt" to="153.7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" strokecolor="#5b9bd5" strokeweight=".5pt">
                  <v:stroke joinstyle="miter"/>
                </v:line>
              </w:pict>
            </w:r>
            <w:r>
              <w:rPr>
                <w:noProof/>
              </w:rPr>
              <w:pict>
                <v:line id="Straight Connector 1" o:spid="_x0000_s1032" style="position:absolute;left:0;text-align:lef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75pt,7.95pt" to="285.7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" strokecolor="#5b9bd5" strokeweight=".5pt">
                  <v:stroke joinstyle="miter"/>
                </v:line>
              </w:pict>
            </w: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ab/>
            </w:r>
            <w:r w:rsidRPr="006B487A">
              <w:rPr>
                <w:rFonts w:ascii="Arial" w:eastAsia="Calibri" w:hAnsi="Arial" w:cs="Arial"/>
                <w:b/>
                <w:sz w:val="24"/>
                <w:szCs w:val="24"/>
              </w:rPr>
              <w:tab/>
            </w:r>
            <w:r w:rsidRPr="006B487A">
              <w:rPr>
                <w:rFonts w:ascii="Arial" w:eastAsia="Calibri" w:hAnsi="Arial" w:cs="Arial"/>
                <w:b/>
                <w:sz w:val="24"/>
                <w:szCs w:val="24"/>
              </w:rPr>
              <w:tab/>
            </w:r>
            <w:r w:rsidRPr="006B487A">
              <w:rPr>
                <w:rFonts w:ascii="Arial" w:eastAsia="Calibri" w:hAnsi="Arial" w:cs="Arial"/>
                <w:b/>
                <w:sz w:val="24"/>
                <w:szCs w:val="24"/>
              </w:rPr>
              <w:tab/>
              <w:t>Reactive</w:t>
            </w:r>
            <w:r w:rsidRPr="006B487A">
              <w:rPr>
                <w:rFonts w:ascii="Arial" w:eastAsia="Calibri" w:hAnsi="Arial" w:cs="Arial"/>
                <w:b/>
                <w:sz w:val="24"/>
                <w:szCs w:val="24"/>
              </w:rPr>
              <w:tab/>
            </w:r>
            <w:r w:rsidRPr="006B487A">
              <w:rPr>
                <w:rFonts w:ascii="Arial" w:eastAsia="Calibri" w:hAnsi="Arial" w:cs="Arial"/>
                <w:b/>
                <w:sz w:val="24"/>
                <w:szCs w:val="24"/>
              </w:rPr>
              <w:tab/>
              <w:t>Proactive</w:t>
            </w: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Reactive Investigations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These types of investigations are normally initiated by citizen/victim complaints such as disgruntled employees, lovers, former spouse or by auditors, shareholders or management and result from external reports that a crime has occurred.   The investigator, in this type of investigation, is usually only informed once the suspect </w:t>
            </w:r>
            <w:r w:rsidRPr="006B487A">
              <w:rPr>
                <w:rFonts w:ascii="Arial" w:eastAsia="Calibri" w:hAnsi="Arial" w:cs="Arial"/>
                <w:sz w:val="24"/>
                <w:szCs w:val="24"/>
              </w:rPr>
              <w:lastRenderedPageBreak/>
              <w:t>has been dismissed.  In some instances, the suspect is still employed and is unaware of the suspicions against them.</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In both instances there are different concerns and subsequently, different approaches made with the investigation.</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Proactive Investigations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Proactive investigations usually occur as the result of the findings of the investigator.  The investigator initiates action based on the evidence of fraud.  This is where the financial fraud is discovered during the course of the investigation of an unrelated fraud.  In other instances it may be as a result of the investigator becoming suspicious of fraudulent behaviours and, upon deeper investigation, discovers the previously unreported fraud.</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Problems with Investigations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Due to technology and the increasing use of computers to control revenue generation cycles, the identification of the perpetrator is difficult as assigning the responsibility for a transaction to a particular employee is challenging.  Another difficulty facing investigator is where an organisation has poor internal controls regarding the security of the information technology.</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 proactive approach therefore, is crucial in giving the investigator required evidence.  By monitoring the computer log and obtaining documentary evidence, the investigator can link an employee to a specific transaction.  This is usually a starting point.</w:t>
            </w:r>
          </w:p>
          <w:p w:rsidR="006B487A" w:rsidRPr="006B487A" w:rsidRDefault="006B487A" w:rsidP="006B487A">
            <w:pPr>
              <w:spacing w:after="160" w:line="360" w:lineRule="auto"/>
              <w:jc w:val="both"/>
              <w:rPr>
                <w:rFonts w:ascii="Arial" w:eastAsia="Calibri" w:hAnsi="Arial" w:cs="Arial"/>
                <w:sz w:val="24"/>
                <w:szCs w:val="24"/>
              </w:rPr>
            </w:pPr>
          </w:p>
          <w:p w:rsidR="006B487A" w:rsidRDefault="006B487A" w:rsidP="006B487A">
            <w:pPr>
              <w:spacing w:after="160" w:line="360" w:lineRule="auto"/>
              <w:jc w:val="both"/>
              <w:rPr>
                <w:rFonts w:ascii="Arial" w:eastAsia="Calibri" w:hAnsi="Arial" w:cs="Arial"/>
                <w:b/>
                <w:i/>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lastRenderedPageBreak/>
              <w:t>Case Evaluation and the Law</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In financial crimes, reactive investigations must sort through all the information and excerpt the crucial elements of the suspected fraud and apply the information to the law.  Unproven and exaggerated accounts of possible fraud must not be enough to base the investigation on.  The legal elements must be considered and included in the initial steps in any investigation.</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ii.</w:t>
            </w:r>
            <w:r w:rsidRPr="006B487A">
              <w:rPr>
                <w:rFonts w:ascii="Arial" w:eastAsia="Calibri" w:hAnsi="Arial" w:cs="Arial"/>
                <w:b/>
                <w:sz w:val="24"/>
                <w:szCs w:val="24"/>
              </w:rPr>
              <w:tab/>
              <w:t xml:space="preserve">How would you differentiate between the weighted and unweighted </w:t>
            </w:r>
            <w:r w:rsidRPr="006B487A">
              <w:rPr>
                <w:rFonts w:ascii="Arial" w:eastAsia="Calibri" w:hAnsi="Arial" w:cs="Arial"/>
                <w:b/>
                <w:sz w:val="24"/>
                <w:szCs w:val="24"/>
              </w:rPr>
              <w:tab/>
              <w:t>solvability factors.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Solvability factors are the characteristics which help to predict the success of an investigation as not all cases will be solvable.  They are important to determine as the unsolvable cases can them be rejected to allow time for case with a higher possibility of solution.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We shall discuss two types of solvability factors, weighted and unweighted. (Mirron et al, 1979)</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Weighted Solvability Factors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Not all factors are equally important in defining solvability and weighted systems acknowledge and recognise this.  An example could be the existence of fingerprints at a scene being recognised as more important to the result of a case than witness availability.  Statistical research and anecdotal experience determine the eights in advance.  An example of a system using weighted factors if Stanford Research Internals’ (SRI) Felony Investigation Decision Model for Burglary and Robbery.</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Unweighted Solvability Factors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The difference between weighted and unweighted solvability factors is that the </w:t>
            </w:r>
            <w:r w:rsidRPr="006B487A">
              <w:rPr>
                <w:rFonts w:ascii="Arial" w:eastAsia="Calibri" w:hAnsi="Arial" w:cs="Arial"/>
                <w:sz w:val="24"/>
                <w:szCs w:val="24"/>
              </w:rPr>
              <w:lastRenderedPageBreak/>
              <w:t>unweighted solvability factors do not have a reliance on assigning particular importance to factors with all factors being equally important.  Whether the case is investigated is determined upon the existence of one or more factors.  These are particular to each agency and based on anecdotal information gathering.</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iii.</w:t>
            </w:r>
            <w:r w:rsidRPr="006B487A">
              <w:rPr>
                <w:rFonts w:ascii="Arial" w:eastAsia="Calibri" w:hAnsi="Arial" w:cs="Arial"/>
                <w:b/>
                <w:sz w:val="24"/>
                <w:szCs w:val="24"/>
              </w:rPr>
              <w:tab/>
              <w:t xml:space="preserve">Goal-setting and planning is very important for the soundness of an </w:t>
            </w:r>
            <w:r w:rsidRPr="006B487A">
              <w:rPr>
                <w:rFonts w:ascii="Arial" w:eastAsia="Calibri" w:hAnsi="Arial" w:cs="Arial"/>
                <w:b/>
                <w:sz w:val="24"/>
                <w:szCs w:val="24"/>
              </w:rPr>
              <w:tab/>
              <w:t>investigative process.   Why?</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Every investigation is unique and success will depend entirely on the competency of a </w:t>
            </w:r>
            <w:r w:rsidRPr="006B487A">
              <w:rPr>
                <w:rFonts w:ascii="Arial" w:eastAsia="Calibri" w:hAnsi="Arial" w:cs="Arial"/>
                <w:sz w:val="24"/>
                <w:szCs w:val="24"/>
              </w:rPr>
              <w:t>skillful</w:t>
            </w:r>
            <w:r w:rsidRPr="006B487A">
              <w:rPr>
                <w:rFonts w:ascii="Arial" w:eastAsia="Calibri" w:hAnsi="Arial" w:cs="Arial"/>
                <w:sz w:val="24"/>
                <w:szCs w:val="24"/>
              </w:rPr>
              <w:t xml:space="preserve"> and knowledgeable investigator who proceeds with a carefully designed investigative plan.  Whether the investigation is generated proactively or reactively it will result from a complainant and since the investigation is results-based, the goal of the investigation must be defined in terms of its legality.</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Setting expectations and goals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The complainant’s goals must first be identified and in most cases they seek reimbursement and often a legal punishment.  The investigator has to meet the customer’s expectations and, where these are rational and reasonable, the outcome can be satisfactory.  However, where the customers’ expectations are unreasonable the investigation can result in and conclude with a dissatisfied customer.  The customers’ expectations can make the setting of the goals a difficult process.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 xml:space="preserve">Achieving the result </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An obtainable result is a result which can be classed as reasonable to be expected to be obtained.  The circumstances around this investigation need to be considered together with the availability and current state of technology.  By “current” it means not only what is in existence now but also what is foreseeable during the life of the investigation.  This is because investigations into financial crime can cover periods of time where there are technological advances which can surpass preconceived expectations.  When this happens, obtainable results shift.</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An acceptable outcome is the result of the investigations that was reasonably expected given the current state of the law.  In this context, “current” is the time period restricted by the criminal act being investigated.  An outcome may consist of a punishment which was not in existence at the time the crime actually occurred but emerged during the investigation period.  The customer may have an unreasonable expectation of a more severe punishment than previously existed under the law.</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Investigative Goal Setting</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The effectiveness of the investigation is determined by outcome of the goals set.  In criminal cases its effectiveness may be measured by a guilty or innocent verdict in a court of law.  In civil cases effectiveness is less easily evaluated and is often determined by the monetary value of the client with the more successful investigators more appealing to future clients.  In investigations the client heavily influences the goals of the investigator and the client, with their preconceived investigations, will often complicate the investigation goal setting process.</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At the start of the investigation, the investigator needs to educate the client about sensible and achievable outcomes and come to an agreement in relation to the expectations of the investigation.    By identifying mutual goals the progress of the investigation and the acceptability of the outcome should be more easily, and objectively, evaluated.</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The important of goal setting</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Well-defined, properly designed and realised goals should help ensure that the investigation is conducted in a professional manner.  The goals should be the starting point and they should outline the plan of the investigation.  The investigator needs to ensure the client understand the way the investigation will proceed.</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iv.</w:t>
            </w:r>
            <w:r w:rsidRPr="006B487A">
              <w:rPr>
                <w:rFonts w:ascii="Arial" w:eastAsia="Calibri" w:hAnsi="Arial" w:cs="Arial"/>
                <w:b/>
                <w:sz w:val="24"/>
                <w:szCs w:val="24"/>
              </w:rPr>
              <w:tab/>
              <w:t>Outline the major goals of an investigative plan.</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 good investigative plan contains 3 major goals:  to maintain focus, control growth, and promote adaptability.  We shall look at each in turn.</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Focus</w:t>
            </w:r>
          </w:p>
          <w:p w:rsid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 strong plan will focus the efforts and be consistent with the goals set in the planning of the investigation.  This should ensure that leads and warning signs are not overlooked and that there is no task duplication.</w:t>
            </w:r>
          </w:p>
          <w:p w:rsidR="006B487A" w:rsidRPr="006B487A" w:rsidRDefault="006B487A" w:rsidP="006B487A">
            <w:pPr>
              <w:spacing w:after="160" w:line="360" w:lineRule="auto"/>
              <w:jc w:val="both"/>
              <w:rPr>
                <w:rFonts w:ascii="Arial" w:eastAsia="Calibri" w:hAnsi="Arial" w:cs="Arial"/>
                <w:sz w:val="24"/>
                <w:szCs w:val="24"/>
              </w:rPr>
            </w:pPr>
          </w:p>
          <w:p w:rsid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Control</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Financial crimes are organic and grow in terms of the information being considered and one lead can lead to another and another and so on.  As a result, it is imperative that the investigation is controlled and carefully managed.  A strongly managed plan can keep the investigation contained and on track.</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Adaptability</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Financial crime investigation is forever growing and therefore, adaptability must be built in to the plan otherwise any slight changes will render the plan inoperable.  In order to avoid complete change to the plan at every slight change in circumstances, adaptability must be considered at the goal setting and planning stage.</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v.</w:t>
            </w:r>
            <w:r w:rsidRPr="006B487A">
              <w:rPr>
                <w:rFonts w:ascii="Arial" w:eastAsia="Calibri" w:hAnsi="Arial" w:cs="Arial"/>
                <w:b/>
                <w:sz w:val="24"/>
                <w:szCs w:val="24"/>
              </w:rPr>
              <w:tab/>
              <w:t>Briefly describe the stages involved in planning an investigative plan.</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Developing an investigative plan can ensure the avoidance of reactionary decision-making and reduce ad hoc decisions being taken.  It should result in the investigation being a smooth rather than bumpy process.  Regardless of whether the investigation is a simple inquiry or a complex investigation there are the important considerations </w:t>
            </w:r>
            <w:r w:rsidRPr="006B487A">
              <w:rPr>
                <w:rFonts w:ascii="Arial" w:eastAsia="Calibri" w:hAnsi="Arial" w:cs="Arial"/>
                <w:sz w:val="24"/>
                <w:szCs w:val="24"/>
              </w:rPr>
              <w:lastRenderedPageBreak/>
              <w:t>to be made by management, known as the 3 C’s: competence, corroboration and common sense.  The investigation should be undertaken by competent professionals, who apply professional scepticism with a good deal of common sense.  Common sense is less easy to evaluate but should include the management considering whether the allegations, witness accounts and evidence make sense?</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Financial Planning</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Regardless of the size of the investigation, the finances should be closely monitored.  At the outset of the investigation, potentially expensive issues should be identified and key fiscal decision undertaken.  Where this is undertaken at the planning stage, alternative techniques, where possible, should be considered.  Where alternatives to costly investigations are not identified it usually results in compromised outcomes.</w:t>
            </w:r>
          </w:p>
          <w:p w:rsidR="006B487A" w:rsidRDefault="006B487A" w:rsidP="006B487A">
            <w:pPr>
              <w:spacing w:after="160" w:line="360" w:lineRule="auto"/>
              <w:jc w:val="both"/>
              <w:rPr>
                <w:rFonts w:ascii="Arial" w:eastAsia="Calibri" w:hAnsi="Arial" w:cs="Arial"/>
                <w:b/>
                <w:i/>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Personnel Planning</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Once the scope of the investigation is identified, the next step is to consider the number of personnel needed to conduct the investigation.    For long-term, complex cases it is even more imperative.    One expense to be considered is the cost of outside experts such as financial professionals employed in a role as consultant or expert witness especially in cases of specialisms such as securities transactions, corporate governance and international financial transactions.  Also technology experts often prove invaluable as computer-based information very often needs to be investigated.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The integrity of consults is an issue to be considered because they are entrusted with sensitive and confidential information.  Therefore, trust is an important issue and always a concern.    Enlisting experts can greatly help the investigators job and utilising outside expertise is valuable in saving time in the investigations.</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lastRenderedPageBreak/>
              <w:t>Technology Planning</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Although interviewing and traditional ground work of an investigator is crucial to an investigation, as technology advances investigators are regularly investing in planning for the technology being used.  These investments can be both short-term and long-term.  Short-term would be investment in rental equipment such as a high-tech surveillance camera which can help monitor the suspect’s activities whereas a long-term investment would include upgrades to existing computer software or equipment.    The investigation will dictate which type of investment is required.  For instance, an investigation into a computer expert will likely need investment in equipment able to secure and evidence the digital evidence encountered.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Technological incompatibility may also be a factor as this can also hamper an investigation.  For example if the investigator is using a PC computer and the suspect is using a UNIX system, the investigator will have to change the system being used to investigate.   Planning at the outset will not eliminate problems but can minimise the impact of those problems, make them more manageable and less damaging to the outcomes.</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vi</w:t>
            </w:r>
            <w:r w:rsidRPr="006B487A">
              <w:rPr>
                <w:rFonts w:ascii="Arial" w:eastAsia="Calibri" w:hAnsi="Arial" w:cs="Arial"/>
                <w:b/>
                <w:sz w:val="24"/>
                <w:szCs w:val="24"/>
              </w:rPr>
              <w:tab/>
              <w:t>Describe the three main areas of intelligence gathering process.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Once the planning has been completed, the investigation can begin.  This involves identifying witnesses, collecting documents and analysing the evidence collected.  Consideration must be given to the changes the investigation will inevitably undertake.  New theories will evolve, existing theories and hypotheses will be challenged, and the investigator will learn new facts and proof can be either reinforced or weakened.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Intelligence gathering</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Strong intelligence gathering is valuable to the investigation and it is not a static process.  On some occasions the result of the investigators evaluation will be </w:t>
            </w:r>
            <w:r w:rsidRPr="006B487A">
              <w:rPr>
                <w:rFonts w:ascii="Arial" w:eastAsia="Calibri" w:hAnsi="Arial" w:cs="Arial"/>
                <w:sz w:val="24"/>
                <w:szCs w:val="24"/>
              </w:rPr>
              <w:lastRenderedPageBreak/>
              <w:t>inconclusive and more intelligence gathering may be necessary to provide the necessary information need to make a confident decision.</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The intelligence-gathering process can be broken down into three areas:  surveillance, database searches, and trash collection.</w:t>
            </w:r>
          </w:p>
          <w:p w:rsidR="006B487A" w:rsidRPr="006B487A" w:rsidRDefault="006B487A" w:rsidP="006B487A">
            <w:pPr>
              <w:spacing w:after="160" w:line="360" w:lineRule="auto"/>
              <w:jc w:val="both"/>
              <w:rPr>
                <w:rFonts w:ascii="Arial" w:eastAsia="Calibri" w:hAnsi="Arial" w:cs="Arial"/>
                <w:b/>
                <w:i/>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Surveillance</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General information can be provided when surveillance is used in an investigation.  Investigators conduct surveillance of the suspect or the victim or even associates to learn more about the case.  The use of surveillance can uncover facts relating to:</w:t>
            </w:r>
          </w:p>
          <w:p w:rsidR="006B487A" w:rsidRPr="006B487A" w:rsidRDefault="006B487A" w:rsidP="006B487A">
            <w:pPr>
              <w:numPr>
                <w:ilvl w:val="0"/>
                <w:numId w:val="23"/>
              </w:numPr>
              <w:spacing w:after="160" w:line="360" w:lineRule="auto"/>
              <w:contextualSpacing/>
              <w:jc w:val="both"/>
              <w:rPr>
                <w:rFonts w:ascii="Arial" w:eastAsia="Calibri" w:hAnsi="Arial" w:cs="Arial"/>
                <w:sz w:val="24"/>
                <w:szCs w:val="24"/>
              </w:rPr>
            </w:pPr>
            <w:r w:rsidRPr="006B487A">
              <w:rPr>
                <w:rFonts w:ascii="Arial" w:eastAsia="Calibri" w:hAnsi="Arial" w:cs="Arial"/>
                <w:sz w:val="24"/>
                <w:szCs w:val="24"/>
              </w:rPr>
              <w:t>Banks and other financial institutions</w:t>
            </w:r>
          </w:p>
          <w:p w:rsidR="006B487A" w:rsidRPr="006B487A" w:rsidRDefault="006B487A" w:rsidP="006B487A">
            <w:pPr>
              <w:numPr>
                <w:ilvl w:val="0"/>
                <w:numId w:val="23"/>
              </w:numPr>
              <w:spacing w:after="160" w:line="360" w:lineRule="auto"/>
              <w:contextualSpacing/>
              <w:jc w:val="both"/>
              <w:rPr>
                <w:rFonts w:ascii="Arial" w:eastAsia="Calibri" w:hAnsi="Arial" w:cs="Arial"/>
                <w:sz w:val="24"/>
                <w:szCs w:val="24"/>
              </w:rPr>
            </w:pPr>
            <w:r w:rsidRPr="006B487A">
              <w:rPr>
                <w:rFonts w:ascii="Arial" w:eastAsia="Calibri" w:hAnsi="Arial" w:cs="Arial"/>
                <w:sz w:val="24"/>
                <w:szCs w:val="24"/>
              </w:rPr>
              <w:t>Valuable assets such as cars and yachts owned by the suspect or the suspect’s associates</w:t>
            </w:r>
          </w:p>
          <w:p w:rsidR="006B487A" w:rsidRPr="006B487A" w:rsidRDefault="006B487A" w:rsidP="006B487A">
            <w:pPr>
              <w:numPr>
                <w:ilvl w:val="0"/>
                <w:numId w:val="23"/>
              </w:numPr>
              <w:spacing w:after="160" w:line="360" w:lineRule="auto"/>
              <w:contextualSpacing/>
              <w:jc w:val="both"/>
              <w:rPr>
                <w:rFonts w:ascii="Arial" w:eastAsia="Calibri" w:hAnsi="Arial" w:cs="Arial"/>
                <w:sz w:val="24"/>
                <w:szCs w:val="24"/>
              </w:rPr>
            </w:pPr>
            <w:r w:rsidRPr="006B487A">
              <w:rPr>
                <w:rFonts w:ascii="Arial" w:eastAsia="Calibri" w:hAnsi="Arial" w:cs="Arial"/>
                <w:sz w:val="24"/>
                <w:szCs w:val="24"/>
              </w:rPr>
              <w:t>Homes and other buildings</w:t>
            </w:r>
          </w:p>
          <w:p w:rsid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Surveillance can help trace documents relating to the owners which are not readily available or made readily available.  Finding ownership of such items can help investigators in their investigations.</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Databases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Databases hold a great deal of information which has been created, collected and collated.  They are used for tracking people and their behaviour in relation to buying preferences and to conduct lifestyle analysis.  Every transaction made in a market economy from paying for goods or services using a debit card to renewing a licence is stored as data somewhere.  These databases can be divided into two categories:  private and public.</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lastRenderedPageBreak/>
              <w:t>Trash Collection</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While the thought of sifting through someone else’s trash is not very appealing, it is necessary as it is another intelligence-gathering tool and its use must not be overlooked.  This method has often been legally challenged however the law usually acts in favour of the collector.  Although the law protects an individuals’ right to personal freedom and privacy, it is assumed that this right is not extended to discarded items and the collection of information is not considered an intrusion.</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This does not mean that the investigator can proceed through another person’s trash with reckless abandon, he must consider carefully the method used in the collection.  If the trash is hidden behind a fence or kept in a garage, there is an expectation that the person has the right to privacy.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The collection of trash in searching for information is a valuable source of evidence for not just investigators but also journalists and the police.  Evidence of, for example frauds, have often been found in the perpetrators trash can and this is why the collection of trash is considered a category of intelligence-gathering.  Sometimes the evidence found may be the catalyst necessary to establish the case.</w:t>
            </w:r>
          </w:p>
          <w:p w:rsidR="006B487A" w:rsidRDefault="006B487A" w:rsidP="006B487A">
            <w:pPr>
              <w:spacing w:after="160" w:line="360" w:lineRule="auto"/>
              <w:jc w:val="both"/>
              <w:rPr>
                <w:rFonts w:ascii="Arial" w:eastAsia="Calibri" w:hAnsi="Arial" w:cs="Arial"/>
                <w:b/>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2.</w:t>
            </w:r>
            <w:r w:rsidRPr="006B487A">
              <w:rPr>
                <w:rFonts w:ascii="Arial" w:eastAsia="Calibri" w:hAnsi="Arial" w:cs="Arial"/>
                <w:b/>
                <w:sz w:val="24"/>
                <w:szCs w:val="24"/>
              </w:rPr>
              <w:tab/>
              <w:t>Short notes on Databases.</w:t>
            </w: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a.</w:t>
            </w:r>
            <w:r w:rsidRPr="006B487A">
              <w:rPr>
                <w:rFonts w:ascii="Arial" w:eastAsia="Calibri" w:hAnsi="Arial" w:cs="Arial"/>
                <w:b/>
                <w:sz w:val="24"/>
                <w:szCs w:val="24"/>
              </w:rPr>
              <w:tab/>
              <w:t>Private databases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Access is restricted to private databases and can be government and commercial sources.  Private databases generally hold information which is restricted such as driver’s license information.  These information is usually quite broad and diverse holding information such as telephone listing information.  Access is usually restricted to law enforcement personnel but, in some cases, may be accessed for legitimate purposes for a small fee.</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Pr>
                <w:rFonts w:ascii="Arial" w:eastAsia="Calibri" w:hAnsi="Arial" w:cs="Arial"/>
                <w:b/>
                <w:sz w:val="24"/>
                <w:szCs w:val="24"/>
              </w:rPr>
              <w:lastRenderedPageBreak/>
              <w:t xml:space="preserve">b.      </w:t>
            </w:r>
            <w:r w:rsidRPr="006B487A">
              <w:rPr>
                <w:rFonts w:ascii="Arial" w:eastAsia="Calibri" w:hAnsi="Arial" w:cs="Arial"/>
                <w:b/>
                <w:sz w:val="24"/>
                <w:szCs w:val="24"/>
              </w:rPr>
              <w:t>Public Databases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Public databases are relatively low cost in relation to private databases but this comes at a cost of speed and power of the commercial private databases.  More and more private databases are becoming available to the general public via the internet such as property and tax assessment records.    Most public databases are free to use but are invariably more complex to search.  Commercial databases are easier to use but a fee must be paid for this convenience.  The investigator must choose between convenience and cost.</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Internet</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The internet must also be mentioned here as it is generally accepted as being the greatest database in the world.  Unprecedented information can be gathered at the touch of a mouse or a click of a button.</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3.</w:t>
            </w:r>
            <w:r w:rsidRPr="006B487A">
              <w:rPr>
                <w:rFonts w:ascii="Arial" w:eastAsia="Calibri" w:hAnsi="Arial" w:cs="Arial"/>
                <w:b/>
                <w:sz w:val="24"/>
                <w:szCs w:val="24"/>
              </w:rPr>
              <w:tab/>
              <w:t xml:space="preserve">“Financial crime investigations generally result in higher volumes of </w:t>
            </w:r>
            <w:r w:rsidRPr="006B487A">
              <w:rPr>
                <w:rFonts w:ascii="Arial" w:eastAsia="Calibri" w:hAnsi="Arial" w:cs="Arial"/>
                <w:b/>
                <w:sz w:val="24"/>
                <w:szCs w:val="24"/>
              </w:rPr>
              <w:tab/>
              <w:t xml:space="preserve">evidence and more complicated theories of evidence than non-financial </w:t>
            </w:r>
            <w:r w:rsidRPr="006B487A">
              <w:rPr>
                <w:rFonts w:ascii="Arial" w:eastAsia="Calibri" w:hAnsi="Arial" w:cs="Arial"/>
                <w:b/>
                <w:sz w:val="24"/>
                <w:szCs w:val="24"/>
              </w:rPr>
              <w:tab/>
              <w:t>crime.”  Discuss this.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Financial crimes can be described as acts and statements through which financial</w:t>
            </w:r>
            <w:r>
              <w:rPr>
                <w:rFonts w:ascii="Arial" w:eastAsia="Calibri" w:hAnsi="Arial" w:cs="Arial"/>
                <w:sz w:val="24"/>
                <w:szCs w:val="24"/>
              </w:rPr>
              <w:t xml:space="preserve"> </w:t>
            </w:r>
            <w:r w:rsidRPr="006B487A">
              <w:rPr>
                <w:rFonts w:ascii="Arial" w:eastAsia="Calibri" w:hAnsi="Arial" w:cs="Arial"/>
                <w:sz w:val="24"/>
                <w:szCs w:val="24"/>
              </w:rPr>
              <w:t>market participants misinform or mislead other participants in the market by deliberately or recklessly providing them with false, incomplete, or manipulative information related to financial goods, services, or investment opportunities in a way that violates any kind of legal rule or law, be it a regulatory rule, statutory law, civil law, or criminal law.  (Reurink 2016)</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Planning the collection and the analysing of evidence is more important in financial crime investigations than any other.  Even though investigating non-financial crime is challenging, financial crime </w:t>
            </w:r>
            <w:r w:rsidRPr="006B487A">
              <w:rPr>
                <w:rFonts w:ascii="Arial" w:eastAsia="Calibri" w:hAnsi="Arial" w:cs="Arial"/>
                <w:sz w:val="24"/>
                <w:szCs w:val="24"/>
              </w:rPr>
              <w:t>investigations</w:t>
            </w:r>
            <w:r w:rsidRPr="006B487A">
              <w:rPr>
                <w:rFonts w:ascii="Arial" w:eastAsia="Calibri" w:hAnsi="Arial" w:cs="Arial"/>
                <w:sz w:val="24"/>
                <w:szCs w:val="24"/>
              </w:rPr>
              <w:t xml:space="preserve"> </w:t>
            </w:r>
            <w:r w:rsidRPr="006B487A">
              <w:rPr>
                <w:rFonts w:ascii="Arial" w:eastAsia="Calibri" w:hAnsi="Arial" w:cs="Arial"/>
                <w:sz w:val="24"/>
                <w:szCs w:val="24"/>
              </w:rPr>
              <w:t>generally</w:t>
            </w:r>
            <w:r w:rsidRPr="006B487A">
              <w:rPr>
                <w:rFonts w:ascii="Arial" w:eastAsia="Calibri" w:hAnsi="Arial" w:cs="Arial"/>
                <w:sz w:val="24"/>
                <w:szCs w:val="24"/>
              </w:rPr>
              <w:t xml:space="preserve"> result in a higher collection and volumes of evidence as were as more complicated theories than non-financial crimes.</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Gathering Evidence</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All cases are proven through evidence which can be divided into two categories:  direct and circumstantial.  During financial crime investigations there are normally copious amounts of documentary evidence collected.  The can be statements obtained during the investigation, cheques, bank statements and copies of suspect transactions.  Not all evidence such as mounds of cheques can be scrutinised individually and these can be classed as demonstrative evidence.</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The difference between financial and non-financial crimes is the composition of the evidence. In crimes such as murder, prosecutors use real evidence such as fingerprints as evidence, in financial crimes many records and receipts are used and, as such</w:t>
            </w:r>
            <w:r>
              <w:rPr>
                <w:rFonts w:ascii="Arial" w:eastAsia="Calibri" w:hAnsi="Arial" w:cs="Arial"/>
                <w:sz w:val="24"/>
                <w:szCs w:val="24"/>
              </w:rPr>
              <w:t>, non-</w:t>
            </w:r>
            <w:r w:rsidRPr="006B487A">
              <w:rPr>
                <w:rFonts w:ascii="Arial" w:eastAsia="Calibri" w:hAnsi="Arial" w:cs="Arial"/>
                <w:sz w:val="24"/>
                <w:szCs w:val="24"/>
              </w:rPr>
              <w:t>fina</w:t>
            </w:r>
            <w:r w:rsidR="00CA0309">
              <w:rPr>
                <w:rFonts w:ascii="Arial" w:eastAsia="Calibri" w:hAnsi="Arial" w:cs="Arial"/>
                <w:sz w:val="24"/>
                <w:szCs w:val="24"/>
              </w:rPr>
              <w:t>n</w:t>
            </w:r>
            <w:r w:rsidRPr="006B487A">
              <w:rPr>
                <w:rFonts w:ascii="Arial" w:eastAsia="Calibri" w:hAnsi="Arial" w:cs="Arial"/>
                <w:sz w:val="24"/>
                <w:szCs w:val="24"/>
              </w:rPr>
              <w:t>cial crime is document heavy.</w:t>
            </w:r>
            <w:bookmarkStart w:id="0" w:name="_GoBack"/>
            <w:bookmarkEnd w:id="0"/>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This results in more complicated theories of evidence than non-financial crime.</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center"/>
              <w:rPr>
                <w:rFonts w:ascii="Arial" w:eastAsia="Calibri" w:hAnsi="Arial" w:cs="Arial"/>
                <w:b/>
                <w:sz w:val="24"/>
                <w:szCs w:val="24"/>
              </w:rPr>
            </w:pPr>
            <w:r w:rsidRPr="006B487A">
              <w:rPr>
                <w:rFonts w:ascii="Arial" w:eastAsia="Calibri" w:hAnsi="Arial" w:cs="Arial"/>
                <w:b/>
                <w:sz w:val="24"/>
                <w:szCs w:val="24"/>
              </w:rPr>
              <w:t>Case Study</w:t>
            </w: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i.</w:t>
            </w:r>
            <w:r w:rsidRPr="006B487A">
              <w:rPr>
                <w:rFonts w:ascii="Arial" w:eastAsia="Calibri" w:hAnsi="Arial" w:cs="Arial"/>
                <w:b/>
                <w:sz w:val="24"/>
                <w:szCs w:val="24"/>
              </w:rPr>
              <w:tab/>
              <w:t xml:space="preserve">What do you think could be lacking in the Owner’s self-devised </w:t>
            </w:r>
            <w:r w:rsidRPr="006B487A">
              <w:rPr>
                <w:rFonts w:ascii="Arial" w:eastAsia="Calibri" w:hAnsi="Arial" w:cs="Arial"/>
                <w:b/>
                <w:sz w:val="24"/>
                <w:szCs w:val="24"/>
              </w:rPr>
              <w:tab/>
              <w:t xml:space="preserve">accounting </w:t>
            </w:r>
            <w:r w:rsidRPr="006B487A">
              <w:rPr>
                <w:rFonts w:ascii="Arial" w:eastAsia="Calibri" w:hAnsi="Arial" w:cs="Arial"/>
                <w:b/>
                <w:sz w:val="24"/>
                <w:szCs w:val="24"/>
              </w:rPr>
              <w:tab/>
              <w:t>system?</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An accounting system is comprised of accounting records (chequebooks, journals, and ledgers). An accounting system is comprised of accounting records (chequebooks, journals, ledgers, etc.) and a series of processes and procedures assigned to staff, volunteers, and/or outside professionals. The goals of the accounting system are to ensure that financial data and economic transactions are properly entered into the accounting records and that financial reports necessary for </w:t>
            </w:r>
            <w:r w:rsidRPr="006B487A">
              <w:rPr>
                <w:rFonts w:ascii="Arial" w:eastAsia="Calibri" w:hAnsi="Arial" w:cs="Arial"/>
                <w:sz w:val="24"/>
                <w:szCs w:val="24"/>
              </w:rPr>
              <w:lastRenderedPageBreak/>
              <w:t>management are prepared accurately and in a timely fashion.</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It appears that some of the above systems and procedures were not include in the owner’s self-devised accounting system.  When correct procedures are not followed and records are not kept in according with accounting systems there will be a breakdown in the accounting system.  Byron was clearly not a trained bookkeeper and the owner, in this case, failed to give the correct training.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If the Owner felt happier designing his own system he should have given it careful consideration.  However, modern computerised accounting systems are easy to use and less expensive than they used to be.   Perhaps he should have considered using one.</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sz w:val="24"/>
                <w:szCs w:val="24"/>
              </w:rPr>
            </w:pPr>
            <w:r w:rsidRPr="006B487A">
              <w:rPr>
                <w:rFonts w:ascii="Arial" w:eastAsia="Calibri" w:hAnsi="Arial" w:cs="Arial"/>
                <w:b/>
                <w:sz w:val="24"/>
                <w:szCs w:val="24"/>
              </w:rPr>
              <w:t>ii.</w:t>
            </w:r>
            <w:r w:rsidRPr="006B487A">
              <w:rPr>
                <w:rFonts w:ascii="Arial" w:eastAsia="Calibri" w:hAnsi="Arial" w:cs="Arial"/>
                <w:b/>
                <w:sz w:val="24"/>
                <w:szCs w:val="24"/>
              </w:rPr>
              <w:tab/>
              <w:t>Give some possible causes of shortfall other than theft by Byron.</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In the case study, it was found that there was no case to answer and Byron was released.  I provide the following reasons for the shortfall other than theft by Bryon.</w:t>
            </w:r>
          </w:p>
          <w:p w:rsidR="006B487A" w:rsidRPr="006B487A" w:rsidRDefault="006B487A" w:rsidP="006B487A">
            <w:pPr>
              <w:spacing w:after="160" w:line="360" w:lineRule="auto"/>
              <w:jc w:val="both"/>
              <w:rPr>
                <w:rFonts w:ascii="Arial" w:eastAsia="Calibri" w:hAnsi="Arial" w:cs="Arial"/>
                <w:b/>
                <w:i/>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Inexperience/lack of book-keeping training</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Due to the number of transactions and record-keeping that Byron had to prepare, without any prior bookkeeping experience, there was a certain level of certainty that some accounting errors would occur. It appears in this case that they were legitimate mistakes and not attempts to conceal theft and fraud.</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It may be a case that Byron was simply sloppy in his work resulting in shortages. There is evidence that in some cases, the shortfall would not occur where a skilled worked is performing the bookkeeping duties.  It may have been reasonable to expect Byron to check the accuracy of his till, possibly evaluating any losses.  </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Errors of Omission</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Accounting errors of omission occur when data are not recorded, resulting in inaccurate information being presented. Byron may have inadvertently omitted to include some expenses or inventory quantities may not have been adjusted to reflect their current levels. </w:t>
            </w:r>
          </w:p>
          <w:p w:rsid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The banking slips may not have been reconciled with the cash takings or cash book.  Byron may have failed to keep any records or not updated the cash book and the bank records.  </w:t>
            </w:r>
          </w:p>
          <w:p w:rsidR="00CA0309" w:rsidRPr="006B487A" w:rsidRDefault="00CA0309"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b/>
                <w:i/>
                <w:sz w:val="24"/>
                <w:szCs w:val="24"/>
              </w:rPr>
            </w:pPr>
            <w:r w:rsidRPr="006B487A">
              <w:rPr>
                <w:rFonts w:ascii="Arial" w:eastAsia="Calibri" w:hAnsi="Arial" w:cs="Arial"/>
                <w:b/>
                <w:i/>
                <w:sz w:val="24"/>
                <w:szCs w:val="24"/>
              </w:rPr>
              <w:t>Preventing Errors</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Accounting errors are often unavoidable due to the volume of financial information Byron had to account for. While it is difficult to prevent errors, the owner should have helped and taken steps to find mistakes before they have a chance to create long-term problems. Additionally, the owner could have double-checked Byron’s figures and possibly manually reconciled the financial information with the original financial documents to ensure the data was correct.</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center"/>
              <w:rPr>
                <w:rFonts w:ascii="Arial" w:eastAsia="Calibri" w:hAnsi="Arial" w:cs="Arial"/>
                <w:b/>
                <w:sz w:val="24"/>
                <w:szCs w:val="24"/>
              </w:rPr>
            </w:pPr>
            <w:r w:rsidRPr="006B487A">
              <w:rPr>
                <w:rFonts w:ascii="Arial" w:eastAsia="Calibri" w:hAnsi="Arial" w:cs="Arial"/>
                <w:b/>
                <w:sz w:val="24"/>
                <w:szCs w:val="24"/>
              </w:rPr>
              <w:t>Bibliography</w:t>
            </w:r>
          </w:p>
          <w:p w:rsidR="006B487A" w:rsidRPr="006B487A" w:rsidRDefault="006B487A" w:rsidP="006B487A">
            <w:pPr>
              <w:spacing w:after="160" w:line="360" w:lineRule="auto"/>
              <w:jc w:val="both"/>
              <w:rPr>
                <w:rFonts w:ascii="Arial" w:eastAsia="Calibri" w:hAnsi="Arial" w:cs="Arial"/>
                <w:sz w:val="24"/>
                <w:szCs w:val="24"/>
              </w:rPr>
            </w:pP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 xml:space="preserve">H.J.Miron, R. Wasserman, and T.Rickard, </w:t>
            </w:r>
            <w:r w:rsidRPr="006B487A">
              <w:rPr>
                <w:rFonts w:ascii="Arial" w:eastAsia="Calibri" w:hAnsi="Arial" w:cs="Arial"/>
                <w:i/>
                <w:sz w:val="24"/>
                <w:szCs w:val="24"/>
              </w:rPr>
              <w:t>Managing Criminal Investigations</w:t>
            </w:r>
            <w:r w:rsidRPr="006B487A">
              <w:rPr>
                <w:rFonts w:ascii="Arial" w:eastAsia="Calibri" w:hAnsi="Arial" w:cs="Arial"/>
                <w:sz w:val="24"/>
                <w:szCs w:val="24"/>
              </w:rPr>
              <w:t xml:space="preserve"> (Washington, DC: U.S. Department of Justice, Law, Enforcement Assistance Administration, December 1979), 32-33.</w:t>
            </w:r>
          </w:p>
          <w:p w:rsidR="006B487A" w:rsidRPr="006B487A" w:rsidRDefault="006B487A" w:rsidP="006B487A">
            <w:pPr>
              <w:spacing w:after="160" w:line="360" w:lineRule="auto"/>
              <w:jc w:val="both"/>
              <w:rPr>
                <w:rFonts w:ascii="Arial" w:eastAsia="Calibri" w:hAnsi="Arial" w:cs="Arial"/>
                <w:sz w:val="24"/>
                <w:szCs w:val="24"/>
              </w:rPr>
            </w:pPr>
            <w:r w:rsidRPr="006B487A">
              <w:rPr>
                <w:rFonts w:ascii="Arial" w:eastAsia="Calibri" w:hAnsi="Arial" w:cs="Arial"/>
                <w:sz w:val="24"/>
                <w:szCs w:val="24"/>
              </w:rPr>
              <w:t>Reurink, Arjan.  MPIfG Discussion Paper 16/5, Financial Fraud A Literature Review  Max Planck Institute for the Study of Societies</w:t>
            </w:r>
          </w:p>
          <w:p w:rsidR="00CC2FB3" w:rsidRDefault="006B487A" w:rsidP="006B487A">
            <w:pPr>
              <w:spacing w:after="160" w:line="360" w:lineRule="auto"/>
              <w:jc w:val="both"/>
              <w:rPr>
                <w:b/>
              </w:rPr>
            </w:pPr>
            <w:r w:rsidRPr="006B487A">
              <w:rPr>
                <w:rFonts w:ascii="Arial" w:eastAsia="Calibri" w:hAnsi="Arial" w:cs="Arial"/>
                <w:sz w:val="24"/>
                <w:szCs w:val="24"/>
              </w:rPr>
              <w:t xml:space="preserve">Singleton, T. &amp; Singleton, A.  (2010) Fraud Auditing and Forensic Accounting, Fourth </w:t>
            </w:r>
            <w:r w:rsidRPr="006B487A">
              <w:rPr>
                <w:rFonts w:ascii="Arial" w:eastAsia="Calibri" w:hAnsi="Arial" w:cs="Arial"/>
                <w:sz w:val="24"/>
                <w:szCs w:val="24"/>
              </w:rPr>
              <w:lastRenderedPageBreak/>
              <w:t>Edition.  John Wiley &amp; Sons, Hoboken, New Jersey.</w:t>
            </w:r>
          </w:p>
        </w:tc>
      </w:tr>
    </w:tbl>
    <w:p w:rsidR="00503D7E" w:rsidRPr="00B0415E" w:rsidRDefault="00503D7E" w:rsidP="00B90CFD">
      <w:pPr>
        <w:autoSpaceDE w:val="0"/>
        <w:autoSpaceDN w:val="0"/>
        <w:adjustRightInd w:val="0"/>
        <w:spacing w:after="0" w:line="360" w:lineRule="auto"/>
        <w:rPr>
          <w:rFonts w:cs="CalvertMT-Bold"/>
          <w:b/>
          <w:bCs/>
          <w:color w:val="002060"/>
          <w:sz w:val="28"/>
          <w:lang w:val="en-US"/>
        </w:rPr>
      </w:pPr>
    </w:p>
    <w:p w:rsidR="00A851DA" w:rsidRPr="00B0415E" w:rsidRDefault="00AE1481" w:rsidP="00B90CFD">
      <w:pPr>
        <w:autoSpaceDE w:val="0"/>
        <w:autoSpaceDN w:val="0"/>
        <w:adjustRightInd w:val="0"/>
        <w:spacing w:after="0" w:line="36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B90CFD">
      <w:pPr>
        <w:autoSpaceDE w:val="0"/>
        <w:autoSpaceDN w:val="0"/>
        <w:adjustRightInd w:val="0"/>
        <w:spacing w:after="0" w:line="360" w:lineRule="auto"/>
        <w:rPr>
          <w:rFonts w:cs="CalvertMT-Bold"/>
          <w:b/>
          <w:bCs/>
          <w:color w:val="001AE6"/>
          <w:lang w:val="en-US"/>
        </w:rPr>
      </w:pPr>
    </w:p>
    <w:p w:rsidR="00A851DA" w:rsidRPr="00B0415E" w:rsidRDefault="00405895" w:rsidP="00B90CFD">
      <w:pPr>
        <w:autoSpaceDE w:val="0"/>
        <w:autoSpaceDN w:val="0"/>
        <w:adjustRightInd w:val="0"/>
        <w:spacing w:after="0" w:line="36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B90CFD">
      <w:pPr>
        <w:autoSpaceDE w:val="0"/>
        <w:autoSpaceDN w:val="0"/>
        <w:adjustRightInd w:val="0"/>
        <w:spacing w:after="0" w:line="36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Student Signature</w:t>
            </w:r>
          </w:p>
        </w:tc>
        <w:tc>
          <w:tcPr>
            <w:tcW w:w="4035" w:type="dxa"/>
          </w:tcPr>
          <w:p w:rsidR="00405895" w:rsidRPr="00B90CFD" w:rsidRDefault="00B90CFD" w:rsidP="00B90CFD">
            <w:pPr>
              <w:spacing w:line="360" w:lineRule="auto"/>
              <w:rPr>
                <w:rFonts w:ascii="Freestyle Script" w:hAnsi="Freestyle Script" w:cs="Bliss-Regular"/>
                <w:color w:val="000000"/>
                <w:sz w:val="32"/>
                <w:szCs w:val="32"/>
              </w:rPr>
            </w:pPr>
            <w:r>
              <w:rPr>
                <w:rFonts w:ascii="Freestyle Script" w:hAnsi="Freestyle Script" w:cs="Bliss-Regular"/>
                <w:color w:val="000000"/>
                <w:sz w:val="32"/>
                <w:szCs w:val="32"/>
              </w:rPr>
              <w:t>Ellen T Spender</w:t>
            </w:r>
          </w:p>
        </w:tc>
        <w:tc>
          <w:tcPr>
            <w:tcW w:w="1276"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Date</w:t>
            </w:r>
          </w:p>
        </w:tc>
        <w:tc>
          <w:tcPr>
            <w:tcW w:w="1621" w:type="dxa"/>
          </w:tcPr>
          <w:p w:rsidR="00405895" w:rsidRPr="00B0415E" w:rsidRDefault="006B487A" w:rsidP="00B90CFD">
            <w:pPr>
              <w:spacing w:line="360" w:lineRule="auto"/>
              <w:rPr>
                <w:rFonts w:cs="Bliss-Regular"/>
                <w:color w:val="000000"/>
              </w:rPr>
            </w:pPr>
            <w:r>
              <w:rPr>
                <w:rFonts w:cs="Bliss-Regular"/>
                <w:color w:val="000000"/>
              </w:rPr>
              <w:t>9</w:t>
            </w:r>
            <w:r w:rsidR="00FD39AB">
              <w:rPr>
                <w:rFonts w:cs="Bliss-Regular"/>
                <w:color w:val="000000"/>
              </w:rPr>
              <w:t>/</w:t>
            </w:r>
            <w:r>
              <w:rPr>
                <w:rFonts w:cs="Bliss-Regular"/>
                <w:color w:val="000000"/>
              </w:rPr>
              <w:t>12</w:t>
            </w:r>
            <w:r w:rsidR="009C44DA">
              <w:rPr>
                <w:rFonts w:cs="Bliss-Regular"/>
                <w:color w:val="000000"/>
              </w:rPr>
              <w:t>/2018</w:t>
            </w:r>
          </w:p>
        </w:tc>
      </w:tr>
    </w:tbl>
    <w:p w:rsidR="00A851DA" w:rsidRPr="00B0415E" w:rsidRDefault="00A851DA" w:rsidP="00B90CFD">
      <w:pPr>
        <w:spacing w:line="360" w:lineRule="auto"/>
        <w:rPr>
          <w:rFonts w:cs="Bliss-Regular"/>
          <w:color w:val="000000"/>
          <w:lang w:val="en-US"/>
        </w:rPr>
      </w:pPr>
    </w:p>
    <w:p w:rsidR="00A851DA" w:rsidRPr="00B0415E" w:rsidRDefault="00A851DA" w:rsidP="00B90CFD">
      <w:pPr>
        <w:spacing w:line="360" w:lineRule="auto"/>
        <w:rPr>
          <w:rFonts w:cs="Bliss-Regular"/>
          <w:color w:val="000000"/>
          <w:lang w:val="en-US"/>
        </w:rPr>
      </w:pPr>
    </w:p>
    <w:p w:rsidR="00A851DA" w:rsidRPr="00B0415E" w:rsidRDefault="00503D7E" w:rsidP="00B90CFD">
      <w:pPr>
        <w:shd w:val="clear" w:color="auto" w:fill="D9D9D9" w:themeFill="background1" w:themeFillShade="D9"/>
        <w:spacing w:line="36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Total Marks</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Marks Obtained</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B90CFD">
            <w:pPr>
              <w:spacing w:line="360" w:lineRule="auto"/>
              <w:rPr>
                <w:b/>
                <w:color w:val="002060"/>
              </w:rPr>
            </w:pPr>
            <w:r w:rsidRPr="00B0415E">
              <w:rPr>
                <w:b/>
                <w:color w:val="002060"/>
              </w:rPr>
              <w:t>Percentage / Grade</w:t>
            </w:r>
          </w:p>
        </w:tc>
        <w:tc>
          <w:tcPr>
            <w:tcW w:w="4621" w:type="dxa"/>
          </w:tcPr>
          <w:p w:rsidR="00503D7E" w:rsidRPr="00B0415E" w:rsidRDefault="00503D7E" w:rsidP="00B90CFD">
            <w:pPr>
              <w:spacing w:line="360" w:lineRule="auto"/>
              <w:rPr>
                <w:rFonts w:cs="Times New Roman"/>
                <w:szCs w:val="32"/>
              </w:rPr>
            </w:pPr>
          </w:p>
        </w:tc>
      </w:tr>
    </w:tbl>
    <w:p w:rsidR="00A851DA" w:rsidRDefault="00A851DA"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EA30AB" w:rsidRDefault="00EA30AB" w:rsidP="00B90CFD">
      <w:pPr>
        <w:spacing w:line="360" w:lineRule="auto"/>
        <w:rPr>
          <w:rFonts w:cs="Times New Roman"/>
          <w:sz w:val="24"/>
          <w:szCs w:val="32"/>
        </w:rPr>
      </w:pPr>
    </w:p>
    <w:p w:rsidR="00EA30AB" w:rsidRDefault="00EA30AB" w:rsidP="00B90CFD">
      <w:pPr>
        <w:spacing w:line="360" w:lineRule="auto"/>
        <w:rPr>
          <w:rFonts w:cs="Times New Roman"/>
          <w:sz w:val="24"/>
          <w:szCs w:val="32"/>
        </w:rPr>
      </w:pPr>
    </w:p>
    <w:p w:rsidR="00EA30AB" w:rsidRPr="00B0415E" w:rsidRDefault="00EA30AB" w:rsidP="00B90CFD">
      <w:pPr>
        <w:spacing w:line="360" w:lineRule="auto"/>
        <w:rPr>
          <w:rFonts w:cs="Times New Roman"/>
          <w:sz w:val="24"/>
          <w:szCs w:val="32"/>
        </w:rPr>
      </w:pPr>
    </w:p>
    <w:p w:rsidR="00CD344A" w:rsidRPr="00B0415E" w:rsidRDefault="00CD344A">
      <w:pPr>
        <w:spacing w:line="360" w:lineRule="auto"/>
        <w:rPr>
          <w:rFonts w:cs="Times New Roman"/>
          <w:sz w:val="24"/>
          <w:szCs w:val="32"/>
        </w:rPr>
      </w:pPr>
    </w:p>
    <w:sectPr w:rsidR="00CD344A"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CFD" w:rsidRDefault="00B90CFD" w:rsidP="00B90CFD">
    <w:pPr>
      <w:pStyle w:val="Header"/>
      <w:jc w:val="right"/>
    </w:pPr>
    <w:r>
      <w:t>Ellen Spender</w:t>
    </w:r>
  </w:p>
  <w:p w:rsidR="00B90CFD" w:rsidRDefault="00B90CFD" w:rsidP="00B90CFD">
    <w:pPr>
      <w:pStyle w:val="Header"/>
      <w:jc w:val="right"/>
    </w:pPr>
    <w:r>
      <w:t>Student No:  25042</w:t>
    </w:r>
  </w:p>
  <w:p w:rsidR="00B90CFD" w:rsidRDefault="006B487A" w:rsidP="00B90CFD">
    <w:pPr>
      <w:pStyle w:val="Header"/>
      <w:jc w:val="right"/>
    </w:pPr>
    <w:r>
      <w:t>Assignment Number: 5</w:t>
    </w:r>
  </w:p>
  <w:p w:rsidR="00B90CFD" w:rsidRDefault="00B90CFD" w:rsidP="00B90CFD">
    <w:pPr>
      <w:pStyle w:val="Header"/>
      <w:jc w:val="right"/>
    </w:pPr>
    <w:r>
      <w:t xml:space="preserve">Page </w:t>
    </w:r>
    <w:sdt>
      <w:sdtPr>
        <w:rPr>
          <w:noProof/>
        </w:rPr>
        <w:id w:val="-47998357"/>
        <w:docPartObj>
          <w:docPartGallery w:val="Page Numbers (Top of Page)"/>
          <w:docPartUnique/>
        </w:docPartObj>
      </w:sdtPr>
      <w:sdtEndPr/>
      <w:sdtContent>
        <w:r>
          <w:fldChar w:fldCharType="begin"/>
        </w:r>
        <w:r>
          <w:instrText xml:space="preserve"> PAGE   \* MERGEFORMAT </w:instrText>
        </w:r>
        <w:r>
          <w:fldChar w:fldCharType="separate"/>
        </w:r>
        <w:r w:rsidR="000A4835">
          <w:rPr>
            <w:noProof/>
          </w:rPr>
          <w:t>17</w:t>
        </w:r>
        <w:r>
          <w:rPr>
            <w:noProof/>
          </w:rPr>
          <w:fldChar w:fldCharType="end"/>
        </w:r>
      </w:sdtContent>
    </w:sdt>
  </w:p>
  <w:p w:rsidR="00B90CFD" w:rsidRDefault="00B90C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66C8C"/>
    <w:multiLevelType w:val="hybridMultilevel"/>
    <w:tmpl w:val="22D4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87756"/>
    <w:multiLevelType w:val="hybridMultilevel"/>
    <w:tmpl w:val="E38AD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1375E"/>
    <w:multiLevelType w:val="hybridMultilevel"/>
    <w:tmpl w:val="E242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5C5647"/>
    <w:multiLevelType w:val="hybridMultilevel"/>
    <w:tmpl w:val="5C162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9361D"/>
    <w:multiLevelType w:val="hybridMultilevel"/>
    <w:tmpl w:val="61B8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2383D"/>
    <w:multiLevelType w:val="hybridMultilevel"/>
    <w:tmpl w:val="9110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815839"/>
    <w:multiLevelType w:val="hybridMultilevel"/>
    <w:tmpl w:val="9EE43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E4054D"/>
    <w:multiLevelType w:val="hybridMultilevel"/>
    <w:tmpl w:val="34C26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497E7A"/>
    <w:multiLevelType w:val="hybridMultilevel"/>
    <w:tmpl w:val="A7D6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A7467"/>
    <w:multiLevelType w:val="hybridMultilevel"/>
    <w:tmpl w:val="DE82B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CC009F"/>
    <w:multiLevelType w:val="hybridMultilevel"/>
    <w:tmpl w:val="152A7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DA0700"/>
    <w:multiLevelType w:val="hybridMultilevel"/>
    <w:tmpl w:val="6AF4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7B0F90"/>
    <w:multiLevelType w:val="hybridMultilevel"/>
    <w:tmpl w:val="98CC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EC1866"/>
    <w:multiLevelType w:val="hybridMultilevel"/>
    <w:tmpl w:val="9176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57690C"/>
    <w:multiLevelType w:val="hybridMultilevel"/>
    <w:tmpl w:val="64FA2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5F7848"/>
    <w:multiLevelType w:val="hybridMultilevel"/>
    <w:tmpl w:val="64906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B54FD5"/>
    <w:multiLevelType w:val="hybridMultilevel"/>
    <w:tmpl w:val="C0143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3ED1855"/>
    <w:multiLevelType w:val="hybridMultilevel"/>
    <w:tmpl w:val="0F92C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5428DB"/>
    <w:multiLevelType w:val="hybridMultilevel"/>
    <w:tmpl w:val="1BE6A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083EAE"/>
    <w:multiLevelType w:val="hybridMultilevel"/>
    <w:tmpl w:val="B7386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A712A"/>
    <w:multiLevelType w:val="hybridMultilevel"/>
    <w:tmpl w:val="3E4EC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C8103C"/>
    <w:multiLevelType w:val="hybridMultilevel"/>
    <w:tmpl w:val="1EE2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8"/>
  </w:num>
  <w:num w:numId="4">
    <w:abstractNumId w:val="9"/>
  </w:num>
  <w:num w:numId="5">
    <w:abstractNumId w:val="16"/>
  </w:num>
  <w:num w:numId="6">
    <w:abstractNumId w:val="19"/>
  </w:num>
  <w:num w:numId="7">
    <w:abstractNumId w:val="5"/>
  </w:num>
  <w:num w:numId="8">
    <w:abstractNumId w:val="1"/>
  </w:num>
  <w:num w:numId="9">
    <w:abstractNumId w:val="14"/>
  </w:num>
  <w:num w:numId="10">
    <w:abstractNumId w:val="20"/>
  </w:num>
  <w:num w:numId="11">
    <w:abstractNumId w:val="22"/>
  </w:num>
  <w:num w:numId="12">
    <w:abstractNumId w:val="11"/>
  </w:num>
  <w:num w:numId="13">
    <w:abstractNumId w:val="7"/>
  </w:num>
  <w:num w:numId="14">
    <w:abstractNumId w:val="10"/>
  </w:num>
  <w:num w:numId="15">
    <w:abstractNumId w:val="2"/>
  </w:num>
  <w:num w:numId="16">
    <w:abstractNumId w:val="4"/>
  </w:num>
  <w:num w:numId="17">
    <w:abstractNumId w:val="0"/>
  </w:num>
  <w:num w:numId="18">
    <w:abstractNumId w:val="21"/>
  </w:num>
  <w:num w:numId="19">
    <w:abstractNumId w:val="8"/>
  </w:num>
  <w:num w:numId="20">
    <w:abstractNumId w:val="12"/>
  </w:num>
  <w:num w:numId="21">
    <w:abstractNumId w:val="3"/>
  </w:num>
  <w:num w:numId="22">
    <w:abstractNumId w:val="1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4835"/>
    <w:rsid w:val="001175EE"/>
    <w:rsid w:val="00157CF6"/>
    <w:rsid w:val="00182416"/>
    <w:rsid w:val="00187EB4"/>
    <w:rsid w:val="001F0481"/>
    <w:rsid w:val="00200C92"/>
    <w:rsid w:val="0020451E"/>
    <w:rsid w:val="00206B9D"/>
    <w:rsid w:val="0023259C"/>
    <w:rsid w:val="002B0BD7"/>
    <w:rsid w:val="002B28B0"/>
    <w:rsid w:val="002B573D"/>
    <w:rsid w:val="002C5CB2"/>
    <w:rsid w:val="002F779F"/>
    <w:rsid w:val="00371885"/>
    <w:rsid w:val="003E2B87"/>
    <w:rsid w:val="00402786"/>
    <w:rsid w:val="00405895"/>
    <w:rsid w:val="004058DF"/>
    <w:rsid w:val="00443E6F"/>
    <w:rsid w:val="00486F1A"/>
    <w:rsid w:val="00490CB9"/>
    <w:rsid w:val="00497223"/>
    <w:rsid w:val="004A2CE2"/>
    <w:rsid w:val="004E3CDA"/>
    <w:rsid w:val="004F4B4D"/>
    <w:rsid w:val="0050216D"/>
    <w:rsid w:val="00503D7E"/>
    <w:rsid w:val="0050778F"/>
    <w:rsid w:val="00527C11"/>
    <w:rsid w:val="00535F31"/>
    <w:rsid w:val="00561A81"/>
    <w:rsid w:val="00574D64"/>
    <w:rsid w:val="00591365"/>
    <w:rsid w:val="005B31E4"/>
    <w:rsid w:val="006034F6"/>
    <w:rsid w:val="00607874"/>
    <w:rsid w:val="00607E77"/>
    <w:rsid w:val="00617BB3"/>
    <w:rsid w:val="00645CDD"/>
    <w:rsid w:val="006823A7"/>
    <w:rsid w:val="00687EE8"/>
    <w:rsid w:val="006B487A"/>
    <w:rsid w:val="0070347F"/>
    <w:rsid w:val="0070678E"/>
    <w:rsid w:val="00794AB6"/>
    <w:rsid w:val="007F7D86"/>
    <w:rsid w:val="00831C11"/>
    <w:rsid w:val="008A60B4"/>
    <w:rsid w:val="008B3C31"/>
    <w:rsid w:val="008B64FE"/>
    <w:rsid w:val="00935BF7"/>
    <w:rsid w:val="0095442C"/>
    <w:rsid w:val="009734F6"/>
    <w:rsid w:val="00983942"/>
    <w:rsid w:val="009C37E0"/>
    <w:rsid w:val="009C44DA"/>
    <w:rsid w:val="009E41F4"/>
    <w:rsid w:val="00A14B66"/>
    <w:rsid w:val="00A65CF7"/>
    <w:rsid w:val="00A81AB4"/>
    <w:rsid w:val="00A851DA"/>
    <w:rsid w:val="00AC7D5B"/>
    <w:rsid w:val="00AE1481"/>
    <w:rsid w:val="00B0415E"/>
    <w:rsid w:val="00B04678"/>
    <w:rsid w:val="00B6721D"/>
    <w:rsid w:val="00B90CFD"/>
    <w:rsid w:val="00BC46DF"/>
    <w:rsid w:val="00C03577"/>
    <w:rsid w:val="00C53029"/>
    <w:rsid w:val="00C65FEA"/>
    <w:rsid w:val="00CA0309"/>
    <w:rsid w:val="00CA0AC2"/>
    <w:rsid w:val="00CB4D0A"/>
    <w:rsid w:val="00CC2FB3"/>
    <w:rsid w:val="00CC575A"/>
    <w:rsid w:val="00CD344A"/>
    <w:rsid w:val="00CF123B"/>
    <w:rsid w:val="00D01E92"/>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895"/>
    <w:rsid w:val="00EE7B72"/>
    <w:rsid w:val="00F96EB3"/>
    <w:rsid w:val="00FD39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5:docId w15:val="{41B37694-6977-4EBA-88AD-3C8799E1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7D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358706">
      <w:bodyDiv w:val="1"/>
      <w:marLeft w:val="0"/>
      <w:marRight w:val="0"/>
      <w:marTop w:val="0"/>
      <w:marBottom w:val="0"/>
      <w:divBdr>
        <w:top w:val="none" w:sz="0" w:space="0" w:color="auto"/>
        <w:left w:val="none" w:sz="0" w:space="0" w:color="auto"/>
        <w:bottom w:val="none" w:sz="0" w:space="0" w:color="auto"/>
        <w:right w:val="none" w:sz="0" w:space="0" w:color="auto"/>
      </w:divBdr>
    </w:div>
    <w:div w:id="1434128465">
      <w:bodyDiv w:val="1"/>
      <w:marLeft w:val="0"/>
      <w:marRight w:val="0"/>
      <w:marTop w:val="0"/>
      <w:marBottom w:val="0"/>
      <w:divBdr>
        <w:top w:val="none" w:sz="0" w:space="0" w:color="auto"/>
        <w:left w:val="none" w:sz="0" w:space="0" w:color="auto"/>
        <w:bottom w:val="none" w:sz="0" w:space="0" w:color="auto"/>
        <w:right w:val="none" w:sz="0" w:space="0" w:color="auto"/>
      </w:divBdr>
    </w:div>
    <w:div w:id="1610159215">
      <w:bodyDiv w:val="1"/>
      <w:marLeft w:val="0"/>
      <w:marRight w:val="0"/>
      <w:marTop w:val="0"/>
      <w:marBottom w:val="0"/>
      <w:divBdr>
        <w:top w:val="none" w:sz="0" w:space="0" w:color="auto"/>
        <w:left w:val="none" w:sz="0" w:space="0" w:color="auto"/>
        <w:bottom w:val="none" w:sz="0" w:space="0" w:color="auto"/>
        <w:right w:val="none" w:sz="0" w:space="0" w:color="auto"/>
      </w:divBdr>
    </w:div>
    <w:div w:id="18381118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BBA5C-3533-4030-8C86-E105D771A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3449</Words>
  <Characters>19664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Ellen</cp:lastModifiedBy>
  <cp:revision>4</cp:revision>
  <dcterms:created xsi:type="dcterms:W3CDTF">2018-12-09T17:08:00Z</dcterms:created>
  <dcterms:modified xsi:type="dcterms:W3CDTF">2018-12-09T17:10:00Z</dcterms:modified>
</cp:coreProperties>
</file>