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90CB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54EAE52" wp14:editId="06823B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CDAE184" w14:textId="435048EF" w:rsidR="00607874" w:rsidRDefault="00615F8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D31BB26" wp14:editId="249355D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16598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2760FD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31BB2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616598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2760FDA" w14:textId="77777777" w:rsidR="00405895" w:rsidRDefault="00405895"/>
                  </w:txbxContent>
                </v:textbox>
              </v:shape>
            </w:pict>
          </mc:Fallback>
        </mc:AlternateContent>
      </w:r>
    </w:p>
    <w:p w14:paraId="440A4E88" w14:textId="77777777" w:rsidR="00607874" w:rsidRDefault="00607874" w:rsidP="00A851DA">
      <w:pPr>
        <w:rPr>
          <w:lang w:val="en-US"/>
        </w:rPr>
      </w:pPr>
    </w:p>
    <w:p w14:paraId="5A739F7B" w14:textId="77777777" w:rsidR="00607874" w:rsidRDefault="00607874" w:rsidP="00A851DA">
      <w:pPr>
        <w:rPr>
          <w:lang w:val="en-US"/>
        </w:rPr>
      </w:pPr>
    </w:p>
    <w:p w14:paraId="20BA16F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2DE14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10B19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78D05C" w14:textId="77777777" w:rsidR="00A851DA" w:rsidRPr="00B0415E" w:rsidRDefault="00615F84">
            <w:pPr>
              <w:pStyle w:val="Default"/>
              <w:rPr>
                <w:rFonts w:asciiTheme="minorHAnsi" w:hAnsiTheme="minorHAnsi"/>
              </w:rPr>
            </w:pPr>
            <w:r>
              <w:rPr>
                <w:rFonts w:asciiTheme="minorHAnsi" w:hAnsiTheme="minorHAnsi"/>
              </w:rPr>
              <w:t>OBASI KINGSLEY IKECHUKWU</w:t>
            </w:r>
          </w:p>
        </w:tc>
      </w:tr>
      <w:tr w:rsidR="00A851DA" w:rsidRPr="00B0415E" w14:paraId="5D191C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BB588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41103E" w14:textId="77777777" w:rsidR="00A851DA" w:rsidRPr="00B0415E" w:rsidRDefault="00615F84">
            <w:pPr>
              <w:pStyle w:val="Default"/>
              <w:rPr>
                <w:rFonts w:asciiTheme="minorHAnsi" w:hAnsiTheme="minorHAnsi"/>
              </w:rPr>
            </w:pPr>
            <w:r>
              <w:rPr>
                <w:rFonts w:asciiTheme="minorHAnsi" w:hAnsiTheme="minorHAnsi"/>
              </w:rPr>
              <w:t>22280</w:t>
            </w:r>
          </w:p>
        </w:tc>
      </w:tr>
      <w:tr w:rsidR="00A851DA" w:rsidRPr="00B0415E" w14:paraId="45D055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5CA0A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78C20BA" w14:textId="77777777" w:rsidR="00A851DA" w:rsidRPr="00B0415E" w:rsidRDefault="00615F84">
            <w:pPr>
              <w:pStyle w:val="Default"/>
              <w:rPr>
                <w:rFonts w:asciiTheme="minorHAnsi" w:hAnsiTheme="minorHAnsi"/>
              </w:rPr>
            </w:pPr>
            <w:r>
              <w:rPr>
                <w:rFonts w:asciiTheme="minorHAnsi" w:hAnsiTheme="minorHAnsi"/>
              </w:rPr>
              <w:t>DIPLOMA IN FORENSIC ACCOUNTING</w:t>
            </w:r>
          </w:p>
        </w:tc>
      </w:tr>
      <w:tr w:rsidR="00A851DA" w:rsidRPr="00B0415E" w14:paraId="613EC7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64C9E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A38555" w14:textId="77777777" w:rsidR="00A851DA" w:rsidRPr="00B0415E" w:rsidRDefault="00615F84">
            <w:r>
              <w:t>SEVEN (7)</w:t>
            </w:r>
          </w:p>
        </w:tc>
      </w:tr>
    </w:tbl>
    <w:p w14:paraId="40784720" w14:textId="77777777" w:rsidR="00CC2FB3" w:rsidRDefault="00CC2FB3" w:rsidP="00A851DA">
      <w:pPr>
        <w:rPr>
          <w:b/>
          <w:lang w:val="en-US"/>
        </w:rPr>
      </w:pPr>
    </w:p>
    <w:p w14:paraId="614D775B" w14:textId="77777777" w:rsidR="00443E6F" w:rsidRDefault="00527C11" w:rsidP="00A851DA">
      <w:pPr>
        <w:rPr>
          <w:b/>
          <w:sz w:val="28"/>
          <w:lang w:val="en-US"/>
        </w:rPr>
      </w:pPr>
      <w:r w:rsidRPr="00443E6F">
        <w:rPr>
          <w:b/>
          <w:sz w:val="28"/>
          <w:lang w:val="en-US"/>
        </w:rPr>
        <w:t>Marking Criteria:</w:t>
      </w:r>
    </w:p>
    <w:p w14:paraId="73E8CB0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4C0C34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18AECA3" w14:textId="77777777" w:rsidTr="00CC2FB3">
        <w:tc>
          <w:tcPr>
            <w:tcW w:w="9242" w:type="dxa"/>
          </w:tcPr>
          <w:p w14:paraId="320F38A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615F84">
              <w:rPr>
                <w:rFonts w:ascii="Arial" w:hAnsi="Arial" w:cs="Arial"/>
                <w:sz w:val="24"/>
                <w:szCs w:val="24"/>
              </w:rPr>
              <w:t>(in</w:t>
            </w:r>
            <w:r w:rsidR="002F779F">
              <w:rPr>
                <w:rFonts w:ascii="Arial" w:hAnsi="Arial" w:cs="Arial"/>
                <w:sz w:val="24"/>
                <w:szCs w:val="24"/>
              </w:rPr>
              <w:t xml:space="preserve"> word </w:t>
            </w:r>
            <w:r w:rsidR="00615F84">
              <w:rPr>
                <w:rFonts w:ascii="Arial" w:hAnsi="Arial" w:cs="Arial"/>
                <w:sz w:val="24"/>
                <w:szCs w:val="24"/>
              </w:rPr>
              <w:t xml:space="preserve">format) </w:t>
            </w:r>
            <w:r w:rsidR="00615F84" w:rsidRPr="00CC2FB3">
              <w:rPr>
                <w:rFonts w:ascii="Arial" w:hAnsi="Arial" w:cs="Arial"/>
                <w:sz w:val="24"/>
                <w:szCs w:val="24"/>
              </w:rPr>
              <w:t>here</w:t>
            </w:r>
            <w:r w:rsidRPr="00CC2FB3">
              <w:rPr>
                <w:rFonts w:ascii="Arial" w:hAnsi="Arial" w:cs="Arial"/>
                <w:sz w:val="24"/>
                <w:szCs w:val="24"/>
              </w:rPr>
              <w:t>:</w:t>
            </w:r>
          </w:p>
          <w:p w14:paraId="0CFD46AC" w14:textId="77777777" w:rsidR="00615F84" w:rsidRPr="00615F84" w:rsidRDefault="00615F84" w:rsidP="00615F84">
            <w:pPr>
              <w:spacing w:after="160" w:line="256" w:lineRule="auto"/>
              <w:jc w:val="both"/>
              <w:rPr>
                <w:rFonts w:ascii="Arial" w:eastAsia="Calibri" w:hAnsi="Arial" w:cs="Arial"/>
                <w:b/>
                <w:sz w:val="24"/>
                <w:szCs w:val="24"/>
              </w:rPr>
            </w:pPr>
          </w:p>
          <w:p w14:paraId="6B8CEC74" w14:textId="77777777" w:rsidR="00615F84" w:rsidRPr="00615F84" w:rsidRDefault="00615F84" w:rsidP="00615F84">
            <w:pPr>
              <w:spacing w:before="30" w:after="160" w:line="256" w:lineRule="auto"/>
              <w:jc w:val="both"/>
              <w:rPr>
                <w:rFonts w:ascii="Arial" w:eastAsia="Calibri" w:hAnsi="Arial" w:cs="Arial"/>
                <w:b/>
                <w:sz w:val="24"/>
                <w:szCs w:val="24"/>
              </w:rPr>
            </w:pPr>
            <w:r w:rsidRPr="00615F84">
              <w:rPr>
                <w:rFonts w:ascii="Arial" w:eastAsia="Calibri" w:hAnsi="Arial" w:cs="Arial"/>
                <w:b/>
                <w:sz w:val="24"/>
                <w:szCs w:val="24"/>
              </w:rPr>
              <w:t>Question I</w:t>
            </w:r>
          </w:p>
          <w:p w14:paraId="18581248" w14:textId="77777777" w:rsidR="00615F84" w:rsidRPr="00615F84" w:rsidRDefault="00615F84" w:rsidP="00615F84">
            <w:pPr>
              <w:spacing w:before="30" w:after="160" w:line="256" w:lineRule="auto"/>
              <w:jc w:val="both"/>
              <w:rPr>
                <w:rFonts w:ascii="Arial" w:eastAsia="Calibri" w:hAnsi="Arial" w:cs="Arial"/>
                <w:b/>
                <w:sz w:val="24"/>
                <w:szCs w:val="24"/>
              </w:rPr>
            </w:pPr>
            <w:r w:rsidRPr="00615F84">
              <w:rPr>
                <w:rFonts w:ascii="Arial" w:eastAsia="Calibri" w:hAnsi="Arial" w:cs="Arial"/>
                <w:b/>
                <w:sz w:val="24"/>
                <w:szCs w:val="24"/>
              </w:rPr>
              <w:t xml:space="preserve">Give short answers for the following questions. </w:t>
            </w:r>
          </w:p>
          <w:p w14:paraId="05C21C9E" w14:textId="77777777" w:rsidR="00615F84" w:rsidRPr="00615F84" w:rsidRDefault="00615F84" w:rsidP="00615F84">
            <w:pPr>
              <w:spacing w:before="30" w:after="160" w:line="256" w:lineRule="auto"/>
              <w:jc w:val="both"/>
              <w:rPr>
                <w:rFonts w:ascii="Arial" w:eastAsia="Calibri" w:hAnsi="Arial" w:cs="Arial"/>
                <w:b/>
                <w:sz w:val="24"/>
                <w:szCs w:val="24"/>
              </w:rPr>
            </w:pPr>
            <w:r w:rsidRPr="00615F84">
              <w:rPr>
                <w:rFonts w:ascii="Arial" w:eastAsia="Calibri" w:hAnsi="Arial" w:cs="Arial"/>
                <w:b/>
                <w:sz w:val="24"/>
                <w:szCs w:val="24"/>
              </w:rPr>
              <w:t>(i) What are non-financial sources for evidence</w:t>
            </w:r>
          </w:p>
          <w:p w14:paraId="02D07F51"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Evidence in fraud can potentially come from variety of sources both financial and non-financial. However, the focus on fraud investigation tends to be mostly if not solely financial evidence.</w:t>
            </w:r>
          </w:p>
          <w:p w14:paraId="13B0F675"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 xml:space="preserve">It is important that auditors and investigators consider the possibility of valuable non-financial evidence </w:t>
            </w:r>
            <w:r w:rsidRPr="00615F84">
              <w:rPr>
                <w:rFonts w:ascii="Arial" w:eastAsia="Calibri" w:hAnsi="Arial" w:cs="Arial"/>
                <w:sz w:val="24"/>
                <w:szCs w:val="24"/>
              </w:rPr>
              <w:t>during</w:t>
            </w:r>
            <w:r w:rsidRPr="00615F84">
              <w:rPr>
                <w:rFonts w:ascii="Arial" w:eastAsia="Calibri" w:hAnsi="Arial" w:cs="Arial"/>
                <w:sz w:val="24"/>
                <w:szCs w:val="24"/>
              </w:rPr>
              <w:t xml:space="preserve"> their work.</w:t>
            </w:r>
          </w:p>
          <w:p w14:paraId="06EBAA8C"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Non-financial sources include the following: -</w:t>
            </w:r>
          </w:p>
          <w:p w14:paraId="19FA5E48" w14:textId="77777777" w:rsidR="00615F84" w:rsidRPr="00615F84" w:rsidRDefault="00615F84" w:rsidP="00615F84">
            <w:pPr>
              <w:numPr>
                <w:ilvl w:val="0"/>
                <w:numId w:val="2"/>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Interviews</w:t>
            </w:r>
          </w:p>
          <w:p w14:paraId="34FFA415" w14:textId="77777777" w:rsidR="00615F84" w:rsidRPr="00615F84" w:rsidRDefault="00615F84" w:rsidP="00615F84">
            <w:pPr>
              <w:numPr>
                <w:ilvl w:val="0"/>
                <w:numId w:val="2"/>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Document examination</w:t>
            </w:r>
          </w:p>
          <w:p w14:paraId="4E468EBF" w14:textId="77777777" w:rsidR="00615F84" w:rsidRPr="00615F84" w:rsidRDefault="00615F84" w:rsidP="00615F84">
            <w:pPr>
              <w:numPr>
                <w:ilvl w:val="0"/>
                <w:numId w:val="2"/>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Handwriting analysis and</w:t>
            </w:r>
          </w:p>
          <w:p w14:paraId="03DF1C6B" w14:textId="77777777" w:rsidR="00615F84" w:rsidRPr="00615F84" w:rsidRDefault="00615F84" w:rsidP="00615F84">
            <w:pPr>
              <w:numPr>
                <w:ilvl w:val="0"/>
                <w:numId w:val="2"/>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Physiological traits of the fraudster</w:t>
            </w:r>
          </w:p>
          <w:p w14:paraId="2151DEFC"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The physiological aspect of the fraudster refers to something the fraudster reveals in behaviour, physical expression or communications that can be cues as to the variety of the fraudster’s statements about his or her involvement in the fraud.</w:t>
            </w:r>
          </w:p>
          <w:p w14:paraId="5CE4202B"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Non-financial behavioural aspects include the following interviews, statement analysis, SCAN, (scientific content analysis) body language, eye language, micro expressions.</w:t>
            </w:r>
          </w:p>
          <w:p w14:paraId="36B2FB6C" w14:textId="77777777" w:rsidR="00615F84" w:rsidRPr="00615F84" w:rsidRDefault="00615F84" w:rsidP="00615F84">
            <w:pPr>
              <w:spacing w:after="160" w:line="256" w:lineRule="auto"/>
              <w:jc w:val="both"/>
              <w:rPr>
                <w:rFonts w:ascii="Arial" w:eastAsia="Calibri" w:hAnsi="Arial" w:cs="Arial"/>
                <w:sz w:val="24"/>
                <w:szCs w:val="24"/>
              </w:rPr>
            </w:pPr>
          </w:p>
          <w:p w14:paraId="0B6423FF" w14:textId="77777777" w:rsidR="00615F84" w:rsidRPr="00615F84" w:rsidRDefault="00615F84" w:rsidP="00615F84">
            <w:pPr>
              <w:spacing w:after="160" w:line="256" w:lineRule="auto"/>
              <w:jc w:val="both"/>
              <w:rPr>
                <w:rFonts w:ascii="Arial" w:eastAsia="Calibri" w:hAnsi="Arial" w:cs="Arial"/>
                <w:b/>
                <w:sz w:val="24"/>
                <w:szCs w:val="24"/>
              </w:rPr>
            </w:pPr>
            <w:r w:rsidRPr="00615F84">
              <w:rPr>
                <w:rFonts w:ascii="Arial" w:eastAsia="Calibri" w:hAnsi="Arial" w:cs="Arial"/>
                <w:b/>
                <w:sz w:val="24"/>
                <w:szCs w:val="24"/>
              </w:rPr>
              <w:t>(ii) What is the importance of body language in the interview procedure</w:t>
            </w:r>
          </w:p>
          <w:p w14:paraId="1BC5A53C"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A person’s body movement usually indicate emotions he is expressing through adapters or symptoms. Generally, the person is not aware that he or she is exhibiting body language at the time. The body behaviour can be certain movements, pitch of the voice, speed of talking, cross legs or arms, and other questions.</w:t>
            </w:r>
          </w:p>
          <w:p w14:paraId="0860C019"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In fraud examination physical examination will be limited and stiff, with arm and leg movements. Certain anxiety or stress related gestures or movements may hint at deception. Such cues include speech errors, hesitation, increased vocal pitch, excessive blinking, touching the hands or face excessively etc.</w:t>
            </w:r>
          </w:p>
          <w:p w14:paraId="02B635A2"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Hand, arm and leg movement are toward their own body, the deceitful person takes up space, he or she will avoid making eye contact, gets defensive and uncomfortable facing his or her questioner and accuser and may turn his head or body away. A deceitful person will usually avoid touching the person investigating or questioning him or her. The deceitful person will use your words to make answer to a question. For example, when asked “Did you write a cheque to yourself”. He or she will answer thus “No, I didn’t write a cheque to myself”. A guilty person may speak more than natural, adding unnecessary details to convince the investigator.</w:t>
            </w:r>
          </w:p>
          <w:p w14:paraId="23344452"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The above-mentioned nature of reading body language is just a deception-detecting tool, and it is not admissible in court as evidence.</w:t>
            </w:r>
          </w:p>
          <w:p w14:paraId="272DC7AC"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However, they help the investigator as cues and points a direction towards getting more details and nailing the suspect.</w:t>
            </w:r>
          </w:p>
          <w:p w14:paraId="2251DFB6" w14:textId="77777777" w:rsidR="00615F84" w:rsidRPr="00615F84" w:rsidRDefault="00615F84" w:rsidP="00615F84">
            <w:pPr>
              <w:spacing w:after="160" w:line="256" w:lineRule="auto"/>
              <w:jc w:val="both"/>
              <w:rPr>
                <w:rFonts w:ascii="Arial" w:eastAsia="Calibri" w:hAnsi="Arial" w:cs="Arial"/>
                <w:b/>
                <w:sz w:val="24"/>
                <w:szCs w:val="24"/>
              </w:rPr>
            </w:pPr>
          </w:p>
          <w:p w14:paraId="3A0014DF" w14:textId="77777777" w:rsidR="00615F84" w:rsidRPr="00615F84" w:rsidRDefault="00615F84" w:rsidP="00615F84">
            <w:pPr>
              <w:spacing w:after="160" w:line="256" w:lineRule="auto"/>
              <w:jc w:val="both"/>
              <w:rPr>
                <w:rFonts w:ascii="Arial" w:eastAsia="Calibri" w:hAnsi="Arial" w:cs="Arial"/>
                <w:b/>
                <w:sz w:val="24"/>
                <w:szCs w:val="24"/>
              </w:rPr>
            </w:pPr>
            <w:r w:rsidRPr="00615F84">
              <w:rPr>
                <w:rFonts w:ascii="Arial" w:eastAsia="Calibri" w:hAnsi="Arial" w:cs="Arial"/>
                <w:b/>
                <w:sz w:val="24"/>
                <w:szCs w:val="24"/>
              </w:rPr>
              <w:t>(iii) How is the SCAN Analysis used as an investigative technique?</w:t>
            </w:r>
          </w:p>
          <w:p w14:paraId="302D7AFE"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 xml:space="preserve">Scientific content analysis is a technique </w:t>
            </w:r>
            <w:r w:rsidRPr="00615F84">
              <w:rPr>
                <w:rFonts w:ascii="Arial" w:eastAsia="Calibri" w:hAnsi="Arial" w:cs="Arial"/>
                <w:sz w:val="24"/>
                <w:szCs w:val="24"/>
              </w:rPr>
              <w:t>like</w:t>
            </w:r>
            <w:r w:rsidRPr="00615F84">
              <w:rPr>
                <w:rFonts w:ascii="Arial" w:eastAsia="Calibri" w:hAnsi="Arial" w:cs="Arial"/>
                <w:sz w:val="24"/>
                <w:szCs w:val="24"/>
              </w:rPr>
              <w:t xml:space="preserve"> statement analysis. Like statement analysis SCAN does not try to look for the truthfulness of the facts but rather the reflection of deception in the way statements are made. Deceitful people tend to lie indirectly and not tell lies.</w:t>
            </w:r>
          </w:p>
          <w:p w14:paraId="5BD41CCB"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It is used for analyzing the words people use to try to determine if what they said is accurate. SCAN depends heavily upon analyzing the statement, not upon observing “kinesics” or “body language”. The basic premise is that the structure and contents of a subject’s statement reveal whether there’s an attempt at deception. SCAN is cross culture, in the sense that an interrogator can conduct an analysis in any language he understands. SCAN can be used by investigators to separate fact from fictions.</w:t>
            </w:r>
          </w:p>
          <w:p w14:paraId="73616C43" w14:textId="77777777" w:rsid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SCAN studies speech patterns, seeking tell-tale signs of deception by analyzing both structure and contents of statements. To do so, it is first necessary to obtain a suitable “pure” statement from the subject.</w:t>
            </w:r>
          </w:p>
          <w:p w14:paraId="7B834258" w14:textId="77777777" w:rsidR="00615F84" w:rsidRPr="00615F84" w:rsidRDefault="00615F84" w:rsidP="00615F84">
            <w:pPr>
              <w:spacing w:after="160" w:line="256" w:lineRule="auto"/>
              <w:jc w:val="both"/>
              <w:rPr>
                <w:rFonts w:ascii="Arial" w:eastAsia="Calibri" w:hAnsi="Arial" w:cs="Arial"/>
                <w:sz w:val="24"/>
                <w:szCs w:val="24"/>
              </w:rPr>
            </w:pPr>
          </w:p>
          <w:p w14:paraId="75951B7B" w14:textId="77777777" w:rsidR="00615F84" w:rsidRPr="00615F84" w:rsidRDefault="00615F84" w:rsidP="00615F84">
            <w:pPr>
              <w:spacing w:after="160" w:line="256" w:lineRule="auto"/>
              <w:jc w:val="both"/>
              <w:rPr>
                <w:rFonts w:ascii="Arial" w:eastAsia="Calibri" w:hAnsi="Arial" w:cs="Arial"/>
                <w:b/>
                <w:sz w:val="24"/>
                <w:szCs w:val="24"/>
              </w:rPr>
            </w:pPr>
          </w:p>
          <w:p w14:paraId="744C4513" w14:textId="77777777" w:rsidR="00615F84" w:rsidRPr="00615F84" w:rsidRDefault="00615F84" w:rsidP="00615F84">
            <w:pPr>
              <w:spacing w:after="160" w:line="256" w:lineRule="auto"/>
              <w:jc w:val="both"/>
              <w:rPr>
                <w:rFonts w:ascii="Arial" w:eastAsia="Calibri" w:hAnsi="Arial" w:cs="Arial"/>
                <w:b/>
                <w:sz w:val="24"/>
                <w:szCs w:val="24"/>
              </w:rPr>
            </w:pPr>
            <w:r w:rsidRPr="00615F84">
              <w:rPr>
                <w:rFonts w:ascii="Arial" w:eastAsia="Calibri" w:hAnsi="Arial" w:cs="Arial"/>
                <w:b/>
                <w:sz w:val="24"/>
                <w:szCs w:val="24"/>
              </w:rPr>
              <w:t>(iv) What are visual assessing cues? How do eyes of victim help the interviewer?</w:t>
            </w:r>
          </w:p>
          <w:p w14:paraId="2D02F2CC"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Besides observing gross body postures and movements, the eyes can detect changes in the bodies of others. A more reliable indicator of truthfulness is eye language. Experts believe the eyes are the most communicative part of the human body.</w:t>
            </w:r>
          </w:p>
          <w:p w14:paraId="6529508D"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Eye accessing cues are movements of the eyes in certain directions that indicate visual, auditing or kinesthetic thinking.</w:t>
            </w:r>
          </w:p>
          <w:p w14:paraId="7D042642"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The eyes of the victim will help the interviewer because the eyes can indicate the truthfulness or otherwise of a subject’s respond.</w:t>
            </w:r>
          </w:p>
          <w:p w14:paraId="233CA78B"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The visual cues can be the key to unlocking the subjects’ method of accessing information.</w:t>
            </w:r>
          </w:p>
          <w:p w14:paraId="68F432D2" w14:textId="77777777" w:rsidR="00615F84" w:rsidRPr="00615F84" w:rsidRDefault="00615F84" w:rsidP="00615F84">
            <w:pPr>
              <w:spacing w:after="160" w:line="256" w:lineRule="auto"/>
              <w:jc w:val="both"/>
              <w:rPr>
                <w:rFonts w:ascii="Arial" w:eastAsia="Calibri" w:hAnsi="Arial" w:cs="Arial"/>
                <w:b/>
                <w:sz w:val="24"/>
                <w:szCs w:val="24"/>
              </w:rPr>
            </w:pPr>
          </w:p>
          <w:p w14:paraId="7B4E8C62" w14:textId="77777777" w:rsidR="00615F84" w:rsidRPr="00615F84" w:rsidRDefault="00615F84" w:rsidP="00615F84">
            <w:pPr>
              <w:spacing w:after="160" w:line="256" w:lineRule="auto"/>
              <w:jc w:val="both"/>
              <w:rPr>
                <w:rFonts w:ascii="Arial" w:eastAsia="Calibri" w:hAnsi="Arial" w:cs="Arial"/>
                <w:b/>
                <w:sz w:val="24"/>
                <w:szCs w:val="24"/>
              </w:rPr>
            </w:pPr>
            <w:r w:rsidRPr="00615F84">
              <w:rPr>
                <w:rFonts w:ascii="Arial" w:eastAsia="Calibri" w:hAnsi="Arial" w:cs="Arial"/>
                <w:b/>
                <w:sz w:val="24"/>
                <w:szCs w:val="24"/>
              </w:rPr>
              <w:t>(v) In addition to body language, there are other cues which help to identify lies; what are these?</w:t>
            </w:r>
          </w:p>
          <w:p w14:paraId="0F6C939A"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The following are other cues which can help to identify lies in addition to body language.</w:t>
            </w:r>
          </w:p>
          <w:p w14:paraId="53672222" w14:textId="77777777" w:rsidR="00615F84" w:rsidRPr="00615F84" w:rsidRDefault="00615F84" w:rsidP="00615F84">
            <w:pPr>
              <w:numPr>
                <w:ilvl w:val="0"/>
                <w:numId w:val="3"/>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Interpersonal interactions: This has to do with gestures that are inconsistent, a person may shake his head and say “yes” after making a point.</w:t>
            </w:r>
          </w:p>
          <w:p w14:paraId="36954C1E" w14:textId="77777777" w:rsidR="00615F84" w:rsidRPr="00615F84" w:rsidRDefault="00615F84" w:rsidP="00615F84">
            <w:pPr>
              <w:numPr>
                <w:ilvl w:val="0"/>
                <w:numId w:val="3"/>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The emotional state of the suspect: The guilty suspect will be in a haste to leave the vicinity thus avoiding shaking hands with the interviewer.</w:t>
            </w:r>
          </w:p>
          <w:p w14:paraId="1895E59B" w14:textId="77777777" w:rsidR="00615F84" w:rsidRPr="00615F84" w:rsidRDefault="00615F84" w:rsidP="00615F84">
            <w:pPr>
              <w:numPr>
                <w:ilvl w:val="0"/>
                <w:numId w:val="3"/>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The verbal content: This has to do with the way the suspect reflects the question and given an urgent answer</w:t>
            </w:r>
          </w:p>
          <w:p w14:paraId="49962275" w14:textId="77777777" w:rsidR="00615F84" w:rsidRPr="00615F84" w:rsidRDefault="00615F84" w:rsidP="00615F84">
            <w:pPr>
              <w:numPr>
                <w:ilvl w:val="0"/>
                <w:numId w:val="3"/>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 xml:space="preserve">How comments are phrased: Replacing the pronoun </w:t>
            </w:r>
            <w:r w:rsidRPr="00615F84">
              <w:rPr>
                <w:rFonts w:ascii="Arial" w:eastAsia="Calibri" w:hAnsi="Arial" w:cs="Arial"/>
                <w:sz w:val="24"/>
                <w:szCs w:val="24"/>
              </w:rPr>
              <w:t>to</w:t>
            </w:r>
            <w:r w:rsidRPr="00615F84">
              <w:rPr>
                <w:rFonts w:ascii="Arial" w:eastAsia="Calibri" w:hAnsi="Arial" w:cs="Arial"/>
                <w:sz w:val="24"/>
                <w:szCs w:val="24"/>
              </w:rPr>
              <w:t xml:space="preserve"> disassociate people or events.</w:t>
            </w:r>
          </w:p>
          <w:p w14:paraId="1FB4B05B" w14:textId="77777777" w:rsidR="00615F84" w:rsidRPr="00615F84" w:rsidRDefault="00615F84" w:rsidP="00615F84">
            <w:pPr>
              <w:numPr>
                <w:ilvl w:val="0"/>
                <w:numId w:val="3"/>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Psychological frames: When a suspect tell a lie or gives out wrong statement will usually leave out details of what went wrong.</w:t>
            </w:r>
          </w:p>
          <w:p w14:paraId="71DE6254" w14:textId="77777777" w:rsidR="00615F84" w:rsidRDefault="00615F84" w:rsidP="00615F84">
            <w:pPr>
              <w:spacing w:after="160" w:line="256" w:lineRule="auto"/>
              <w:jc w:val="both"/>
              <w:rPr>
                <w:rFonts w:ascii="Arial" w:eastAsia="Calibri" w:hAnsi="Arial" w:cs="Arial"/>
                <w:b/>
                <w:sz w:val="24"/>
                <w:szCs w:val="24"/>
              </w:rPr>
            </w:pPr>
          </w:p>
          <w:p w14:paraId="7B6F3775" w14:textId="77777777" w:rsidR="00615F84" w:rsidRPr="00615F84" w:rsidRDefault="00615F84" w:rsidP="00615F84">
            <w:pPr>
              <w:spacing w:after="160" w:line="256" w:lineRule="auto"/>
              <w:jc w:val="both"/>
              <w:rPr>
                <w:rFonts w:ascii="Arial" w:eastAsia="Calibri" w:hAnsi="Arial" w:cs="Arial"/>
                <w:b/>
                <w:sz w:val="24"/>
                <w:szCs w:val="24"/>
              </w:rPr>
            </w:pPr>
            <w:r w:rsidRPr="00615F84">
              <w:rPr>
                <w:rFonts w:ascii="Arial" w:eastAsia="Calibri" w:hAnsi="Arial" w:cs="Arial"/>
                <w:b/>
                <w:sz w:val="24"/>
                <w:szCs w:val="24"/>
              </w:rPr>
              <w:t>Question 2</w:t>
            </w:r>
          </w:p>
          <w:p w14:paraId="74AF88F3" w14:textId="77777777" w:rsidR="00615F84" w:rsidRPr="00615F84" w:rsidRDefault="00615F84" w:rsidP="00615F84">
            <w:pPr>
              <w:spacing w:after="160" w:line="256" w:lineRule="auto"/>
              <w:jc w:val="both"/>
              <w:rPr>
                <w:rFonts w:ascii="Arial" w:eastAsia="Calibri" w:hAnsi="Arial" w:cs="Arial"/>
                <w:b/>
                <w:sz w:val="24"/>
                <w:szCs w:val="24"/>
              </w:rPr>
            </w:pPr>
            <w:r w:rsidRPr="00615F84">
              <w:rPr>
                <w:rFonts w:ascii="Arial" w:eastAsia="Calibri" w:hAnsi="Arial" w:cs="Arial"/>
                <w:b/>
                <w:sz w:val="24"/>
                <w:szCs w:val="24"/>
              </w:rPr>
              <w:t>Asking questions in an audit is different from asking questions in fraud investigation</w:t>
            </w:r>
          </w:p>
          <w:p w14:paraId="0D25BF74"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Asking questions during auditing or forensic investigations is sometimes used to refer to an activity more appropriately called interview</w:t>
            </w:r>
          </w:p>
          <w:p w14:paraId="7C2E6B47"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The distinction between asking question during an audit and fraud investigation is not always clear. Each involves asking questions about clearly on transaction and the objective of each is to obtain relevant information that leads to the discovery of truth.</w:t>
            </w:r>
          </w:p>
          <w:p w14:paraId="1BD66E18"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lastRenderedPageBreak/>
              <w:t xml:space="preserve">The questions asked </w:t>
            </w:r>
            <w:r w:rsidRPr="00615F84">
              <w:rPr>
                <w:rFonts w:ascii="Arial" w:eastAsia="Calibri" w:hAnsi="Arial" w:cs="Arial"/>
                <w:sz w:val="24"/>
                <w:szCs w:val="24"/>
              </w:rPr>
              <w:t>to depend</w:t>
            </w:r>
            <w:r w:rsidRPr="00615F84">
              <w:rPr>
                <w:rFonts w:ascii="Arial" w:eastAsia="Calibri" w:hAnsi="Arial" w:cs="Arial"/>
                <w:sz w:val="24"/>
                <w:szCs w:val="24"/>
              </w:rPr>
              <w:t xml:space="preserve"> on whether the interviewee is not a suspect or a suspect. To ask questions effectively in a fraud investigation, one must employ best practices for asking questions.</w:t>
            </w:r>
          </w:p>
          <w:p w14:paraId="0C4A4665" w14:textId="77777777" w:rsidR="00615F84" w:rsidRP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Prepare</w:t>
            </w:r>
          </w:p>
          <w:p w14:paraId="187B4299" w14:textId="77777777" w:rsidR="00615F84" w:rsidRP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Think as you go</w:t>
            </w:r>
          </w:p>
          <w:p w14:paraId="4BB69A02" w14:textId="77777777" w:rsidR="00615F84" w:rsidRP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What non-verbal behaviour</w:t>
            </w:r>
          </w:p>
          <w:p w14:paraId="373F21EF" w14:textId="77777777" w:rsidR="00615F84" w:rsidRP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Set the tone</w:t>
            </w:r>
          </w:p>
          <w:p w14:paraId="0C05942F" w14:textId="77777777" w:rsidR="00615F84" w:rsidRP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Pace your questions</w:t>
            </w:r>
          </w:p>
          <w:p w14:paraId="4D12980E" w14:textId="77777777" w:rsidR="00615F84" w:rsidRP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Do more listening than talking</w:t>
            </w:r>
          </w:p>
          <w:p w14:paraId="5D6027C7" w14:textId="77777777" w:rsidR="00615F84" w:rsidRP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Be straight forward</w:t>
            </w:r>
          </w:p>
          <w:p w14:paraId="4CE2DD33" w14:textId="77777777" w:rsidR="00615F84" w:rsidRP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Take your time</w:t>
            </w:r>
          </w:p>
          <w:p w14:paraId="364CDA8D" w14:textId="4F66D57D" w:rsidR="00615F84" w:rsidRDefault="00615F84" w:rsidP="00615F84">
            <w:pPr>
              <w:numPr>
                <w:ilvl w:val="0"/>
                <w:numId w:val="4"/>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Double check the facts</w:t>
            </w:r>
          </w:p>
          <w:p w14:paraId="3718F367" w14:textId="0380B756" w:rsidR="00353194" w:rsidRDefault="00353194" w:rsidP="00353194">
            <w:pPr>
              <w:spacing w:after="160" w:line="256" w:lineRule="auto"/>
              <w:contextualSpacing/>
              <w:jc w:val="both"/>
              <w:rPr>
                <w:rFonts w:ascii="Arial" w:eastAsia="Calibri" w:hAnsi="Arial" w:cs="Arial"/>
                <w:sz w:val="24"/>
                <w:szCs w:val="24"/>
              </w:rPr>
            </w:pPr>
            <w:r>
              <w:rPr>
                <w:rFonts w:ascii="Arial" w:eastAsia="Calibri" w:hAnsi="Arial" w:cs="Arial"/>
                <w:sz w:val="24"/>
                <w:szCs w:val="24"/>
              </w:rPr>
              <w:t>In forensic accounting the forensic accountant or investigator when armed with the knowledge can formulate a strategy for questions during the interview by using the information gathered about the suspect and fraud triangle, which is not usually so in auditing.</w:t>
            </w:r>
          </w:p>
          <w:p w14:paraId="7C062379" w14:textId="19E97F9E" w:rsidR="00353194" w:rsidRDefault="00353194" w:rsidP="00353194">
            <w:pPr>
              <w:spacing w:after="160" w:line="256" w:lineRule="auto"/>
              <w:contextualSpacing/>
              <w:jc w:val="both"/>
              <w:rPr>
                <w:rFonts w:ascii="Arial" w:eastAsia="Calibri" w:hAnsi="Arial" w:cs="Arial"/>
                <w:sz w:val="24"/>
                <w:szCs w:val="24"/>
              </w:rPr>
            </w:pPr>
            <w:r>
              <w:rPr>
                <w:rFonts w:ascii="Arial" w:eastAsia="Calibri" w:hAnsi="Arial" w:cs="Arial"/>
                <w:sz w:val="24"/>
                <w:szCs w:val="24"/>
              </w:rPr>
              <w:t>Forensic investigators mostly use informational questions when conducting interviews</w:t>
            </w:r>
            <w:r w:rsidR="00B23D54">
              <w:rPr>
                <w:rFonts w:ascii="Arial" w:eastAsia="Calibri" w:hAnsi="Arial" w:cs="Arial"/>
                <w:sz w:val="24"/>
                <w:szCs w:val="24"/>
              </w:rPr>
              <w:t>. An informational question is designed to collect information that is relevant to the investigation. They represent the most important and most frequently used type of questions an interviewer can ask. These questions can be about the interviewee’s work environment, such as internal controls (or, more specifically, lack of controls or violations of controls), co-workers, and documents such as records, bank accounts, and loan applications. Examples of these questions are’’ who performs the bank reconciliation around here”</w:t>
            </w:r>
            <w:r w:rsidR="00727B82">
              <w:rPr>
                <w:rFonts w:ascii="Arial" w:eastAsia="Calibri" w:hAnsi="Arial" w:cs="Arial"/>
                <w:sz w:val="24"/>
                <w:szCs w:val="24"/>
              </w:rPr>
              <w:t xml:space="preserve"> and have you noticed any changes in the behaviour of your coworkers.</w:t>
            </w:r>
          </w:p>
          <w:p w14:paraId="2DD17FAE" w14:textId="3F49F9A7" w:rsidR="00727B82" w:rsidRDefault="00727B82" w:rsidP="00353194">
            <w:pPr>
              <w:spacing w:after="160" w:line="256" w:lineRule="auto"/>
              <w:contextualSpacing/>
              <w:jc w:val="both"/>
              <w:rPr>
                <w:rFonts w:ascii="Arial" w:eastAsia="Calibri" w:hAnsi="Arial" w:cs="Arial"/>
                <w:sz w:val="24"/>
                <w:szCs w:val="24"/>
              </w:rPr>
            </w:pPr>
            <w:r>
              <w:rPr>
                <w:rFonts w:ascii="Arial" w:eastAsia="Calibri" w:hAnsi="Arial" w:cs="Arial"/>
                <w:sz w:val="24"/>
                <w:szCs w:val="24"/>
              </w:rPr>
              <w:t>If the person being interviewed was a suspect at the beginning of the interview but since been eliminated as a suspect by means of verbal and non - verbal responses during the interview, he is asked concluding questions.  These questions are used to (1) confirm information received by the interviewer during the interview, (2) obtain information that has not yet been gathered, and (3) seek the subject’s agreement that he will continue to cooperate.</w:t>
            </w:r>
          </w:p>
          <w:p w14:paraId="13FB49D2" w14:textId="69B3625B" w:rsidR="00996411" w:rsidRDefault="00996411" w:rsidP="00353194">
            <w:pPr>
              <w:spacing w:after="160" w:line="256" w:lineRule="auto"/>
              <w:contextualSpacing/>
              <w:jc w:val="both"/>
              <w:rPr>
                <w:rFonts w:ascii="Arial" w:eastAsia="Calibri" w:hAnsi="Arial" w:cs="Arial"/>
                <w:sz w:val="24"/>
                <w:szCs w:val="24"/>
              </w:rPr>
            </w:pPr>
          </w:p>
          <w:p w14:paraId="3D6911B7" w14:textId="77777777" w:rsidR="00615F84" w:rsidRPr="00615F84" w:rsidRDefault="00615F84" w:rsidP="00615F84">
            <w:pPr>
              <w:spacing w:after="160" w:line="256" w:lineRule="auto"/>
              <w:jc w:val="both"/>
              <w:rPr>
                <w:rFonts w:ascii="Arial" w:eastAsia="Calibri" w:hAnsi="Arial" w:cs="Arial"/>
                <w:sz w:val="24"/>
                <w:szCs w:val="24"/>
              </w:rPr>
            </w:pPr>
          </w:p>
          <w:p w14:paraId="02D95FB1" w14:textId="77777777" w:rsidR="00615F84" w:rsidRPr="00615F84" w:rsidRDefault="00615F84" w:rsidP="00615F84">
            <w:pPr>
              <w:spacing w:after="160" w:line="256" w:lineRule="auto"/>
              <w:jc w:val="both"/>
              <w:rPr>
                <w:rFonts w:ascii="Arial" w:eastAsia="Calibri" w:hAnsi="Arial" w:cs="Arial"/>
                <w:b/>
                <w:sz w:val="24"/>
                <w:szCs w:val="24"/>
              </w:rPr>
            </w:pPr>
            <w:r w:rsidRPr="00615F84">
              <w:rPr>
                <w:rFonts w:ascii="Arial" w:eastAsia="Calibri" w:hAnsi="Arial" w:cs="Arial"/>
                <w:b/>
                <w:sz w:val="24"/>
                <w:szCs w:val="24"/>
              </w:rPr>
              <w:t>Question 3</w:t>
            </w:r>
          </w:p>
          <w:p w14:paraId="6838C458" w14:textId="77777777" w:rsidR="00615F84" w:rsidRPr="00615F84" w:rsidRDefault="00615F84" w:rsidP="00615F84">
            <w:pPr>
              <w:spacing w:after="160" w:line="256" w:lineRule="auto"/>
              <w:jc w:val="both"/>
              <w:rPr>
                <w:rFonts w:ascii="Arial" w:eastAsia="Calibri" w:hAnsi="Arial" w:cs="Arial"/>
                <w:b/>
                <w:sz w:val="24"/>
                <w:szCs w:val="24"/>
              </w:rPr>
            </w:pPr>
            <w:r w:rsidRPr="00615F84">
              <w:rPr>
                <w:rFonts w:ascii="Arial" w:eastAsia="Calibri" w:hAnsi="Arial" w:cs="Arial"/>
                <w:b/>
                <w:sz w:val="24"/>
                <w:szCs w:val="24"/>
              </w:rPr>
              <w:t>Discuss the interviewing procedure for a financially sophisticated victim</w:t>
            </w:r>
          </w:p>
          <w:p w14:paraId="64D142E7"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An interview is conversation in which persons are questioned and their responses noted. Responses can be verbal as well as non-verbal.</w:t>
            </w:r>
          </w:p>
          <w:p w14:paraId="4B008E14"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The interviewing process involves specific steps. The initial interviews are conducted with the most remote suspects. The investigator then conducts additional interviews that are successively closer to the suspects, with the prime suspect being the last person interviewed.</w:t>
            </w:r>
          </w:p>
          <w:p w14:paraId="6F578043"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 xml:space="preserve">The forensic accountant when conducting an interview for a financially sophisticated victim should build a profile of the individual suspected of committing the fraud using </w:t>
            </w:r>
            <w:r w:rsidRPr="00615F84">
              <w:rPr>
                <w:rFonts w:ascii="Arial" w:eastAsia="Calibri" w:hAnsi="Arial" w:cs="Arial"/>
                <w:sz w:val="24"/>
                <w:szCs w:val="24"/>
              </w:rPr>
              <w:lastRenderedPageBreak/>
              <w:t>the evidence-gathering techniques. This profile should include the following about the suspect.</w:t>
            </w:r>
          </w:p>
          <w:p w14:paraId="0AE072DE"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Position in the firm</w:t>
            </w:r>
          </w:p>
          <w:p w14:paraId="5FA3711C"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Job function</w:t>
            </w:r>
          </w:p>
          <w:p w14:paraId="1C371D6F"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Length of time with the firm</w:t>
            </w:r>
          </w:p>
          <w:p w14:paraId="0970F223"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Salary and benefits</w:t>
            </w:r>
          </w:p>
          <w:p w14:paraId="4D05CEC7"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Any promotions that may have been expected but not received</w:t>
            </w:r>
          </w:p>
          <w:p w14:paraId="72DA8C9F"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Work related interaction with co-workers</w:t>
            </w:r>
          </w:p>
          <w:p w14:paraId="455191EB"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Age and marital status</w:t>
            </w:r>
          </w:p>
          <w:p w14:paraId="6557BC69"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Interests and hobbies</w:t>
            </w:r>
          </w:p>
          <w:p w14:paraId="71E3F264"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Assets</w:t>
            </w:r>
          </w:p>
          <w:p w14:paraId="50D6D5E5" w14:textId="77777777" w:rsidR="00615F84" w:rsidRPr="00615F84" w:rsidRDefault="00615F84" w:rsidP="00615F84">
            <w:pPr>
              <w:numPr>
                <w:ilvl w:val="0"/>
                <w:numId w:val="5"/>
              </w:numPr>
              <w:spacing w:after="160" w:line="256" w:lineRule="auto"/>
              <w:contextualSpacing/>
              <w:jc w:val="both"/>
              <w:rPr>
                <w:rFonts w:ascii="Arial" w:eastAsia="Calibri" w:hAnsi="Arial" w:cs="Arial"/>
                <w:sz w:val="24"/>
                <w:szCs w:val="24"/>
              </w:rPr>
            </w:pPr>
            <w:r w:rsidRPr="00615F84">
              <w:rPr>
                <w:rFonts w:ascii="Arial" w:eastAsia="Calibri" w:hAnsi="Arial" w:cs="Arial"/>
                <w:sz w:val="24"/>
                <w:szCs w:val="24"/>
              </w:rPr>
              <w:t>Outstanding bills, including recent purchases of items such as cars and real estates.</w:t>
            </w:r>
          </w:p>
          <w:p w14:paraId="5CD89DDD"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Armed with this knowledge, the forensic accountant can formulate, a strategy for the initial interview by using the information gathered about the suspect and fraud triangle. By taking this approach in the initial interview, he/she can gather information, much of which can be confirmed or refuted about the suspects likely pressures, perceived opportunities, and rationalization – particularly if she/he is informed about the suspect.</w:t>
            </w:r>
          </w:p>
          <w:p w14:paraId="7D2D01CC"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The second phase of interviewing a financially sophisticated victim is to begin by carefully studying the business operation, and the industry by understanding the day to day operations of the firm and knowing the normal flow of funds, within the firm and how other firms in the same line of industry operates, know what a similar firm looks like. What sort of yearly revenue can be expected. Regardless of the industry, there are likely several journals and trade organisati</w:t>
            </w:r>
            <w:bookmarkStart w:id="0" w:name="_GoBack"/>
            <w:bookmarkEnd w:id="0"/>
            <w:r w:rsidRPr="00615F84">
              <w:rPr>
                <w:rFonts w:ascii="Arial" w:eastAsia="Calibri" w:hAnsi="Arial" w:cs="Arial"/>
                <w:sz w:val="24"/>
                <w:szCs w:val="24"/>
              </w:rPr>
              <w:t>ons that can provide detailed information about standard operating procedures and financial ratios within the industry.</w:t>
            </w:r>
          </w:p>
          <w:p w14:paraId="42AAD922"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Thirdly collect documents related to the investigation that your witness likely will testify about, this will allow you time to study the documents and make detailed notes concerning what questions you wish to ask.</w:t>
            </w:r>
          </w:p>
          <w:p w14:paraId="2F58C817"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Fourthly build your knowledge as you go. By starting at the top and working your way down, you will be increasing your knowledge base about the business while narrowing the focus of your questions until you have reached the point where specific pointed questions will elicit the detailed evidence necessary.</w:t>
            </w:r>
          </w:p>
          <w:p w14:paraId="7C00F2EB" w14:textId="77777777" w:rsidR="00615F84" w:rsidRPr="00615F84" w:rsidRDefault="00615F84" w:rsidP="00615F84">
            <w:pPr>
              <w:spacing w:after="160" w:line="256" w:lineRule="auto"/>
              <w:jc w:val="both"/>
              <w:rPr>
                <w:rFonts w:ascii="Arial" w:eastAsia="Calibri" w:hAnsi="Arial" w:cs="Arial"/>
                <w:sz w:val="24"/>
                <w:szCs w:val="24"/>
              </w:rPr>
            </w:pPr>
            <w:r w:rsidRPr="00615F84">
              <w:rPr>
                <w:rFonts w:ascii="Arial" w:eastAsia="Calibri" w:hAnsi="Arial" w:cs="Arial"/>
                <w:sz w:val="24"/>
                <w:szCs w:val="24"/>
              </w:rPr>
              <w:t xml:space="preserve">Prepare an interview outline in advance. The best defense against the natural tendency to leave out questions is to make a general outline in advance. This is even more important when interviewing financially sophisticated </w:t>
            </w:r>
            <w:r w:rsidRPr="00615F84">
              <w:rPr>
                <w:rFonts w:ascii="Arial" w:eastAsia="Calibri" w:hAnsi="Arial" w:cs="Arial"/>
                <w:sz w:val="24"/>
                <w:szCs w:val="24"/>
              </w:rPr>
              <w:t>victim because</w:t>
            </w:r>
            <w:r w:rsidRPr="00615F84">
              <w:rPr>
                <w:rFonts w:ascii="Arial" w:eastAsia="Calibri" w:hAnsi="Arial" w:cs="Arial"/>
                <w:sz w:val="24"/>
                <w:szCs w:val="24"/>
              </w:rPr>
              <w:t xml:space="preserve"> they most likely will be talking over your head. By formulating a list of general questions and planning out the interview in advance, you are much more likely to cover everything you need and stay on track.</w:t>
            </w:r>
          </w:p>
          <w:p w14:paraId="3F7E2A11" w14:textId="157D570D" w:rsidR="00615F84" w:rsidRDefault="00615F84" w:rsidP="00615F84">
            <w:pPr>
              <w:rPr>
                <w:rFonts w:ascii="Arial" w:eastAsia="Calibri" w:hAnsi="Arial" w:cs="Arial"/>
                <w:sz w:val="24"/>
                <w:szCs w:val="24"/>
              </w:rPr>
            </w:pPr>
            <w:r w:rsidRPr="00615F84">
              <w:rPr>
                <w:rFonts w:ascii="Arial" w:eastAsia="Calibri" w:hAnsi="Arial" w:cs="Arial"/>
                <w:sz w:val="24"/>
                <w:szCs w:val="24"/>
              </w:rPr>
              <w:t>Draw a flowchart of funds, transactions, or de</w:t>
            </w:r>
            <w:r>
              <w:rPr>
                <w:rFonts w:ascii="Arial" w:eastAsia="Calibri" w:hAnsi="Arial" w:cs="Arial"/>
                <w:sz w:val="24"/>
                <w:szCs w:val="24"/>
              </w:rPr>
              <w:t>posits, this when summarized will help during court proceedings</w:t>
            </w:r>
          </w:p>
          <w:p w14:paraId="1C1ACCFF" w14:textId="77777777" w:rsidR="00B24E91" w:rsidRDefault="00B24E91" w:rsidP="00615F84">
            <w:pPr>
              <w:rPr>
                <w:rFonts w:ascii="Arial" w:eastAsia="Calibri" w:hAnsi="Arial" w:cs="Arial"/>
                <w:sz w:val="24"/>
                <w:szCs w:val="24"/>
              </w:rPr>
            </w:pPr>
          </w:p>
          <w:p w14:paraId="53DA470E" w14:textId="77E4B5AE" w:rsidR="00B24E91" w:rsidRDefault="00615F84" w:rsidP="00615F84">
            <w:pPr>
              <w:rPr>
                <w:rFonts w:ascii="Arial" w:eastAsia="Calibri" w:hAnsi="Arial" w:cs="Arial"/>
                <w:sz w:val="24"/>
                <w:szCs w:val="24"/>
              </w:rPr>
            </w:pPr>
            <w:r>
              <w:rPr>
                <w:rFonts w:ascii="Arial" w:eastAsia="Calibri" w:hAnsi="Arial" w:cs="Arial"/>
                <w:sz w:val="24"/>
                <w:szCs w:val="24"/>
              </w:rPr>
              <w:t>Request for help when needed.</w:t>
            </w:r>
          </w:p>
          <w:p w14:paraId="1D92A2ED" w14:textId="77777777" w:rsidR="00B24E91" w:rsidRDefault="00B24E91" w:rsidP="00615F84">
            <w:pPr>
              <w:rPr>
                <w:rFonts w:ascii="Arial" w:eastAsia="Calibri" w:hAnsi="Arial" w:cs="Arial"/>
                <w:sz w:val="24"/>
                <w:szCs w:val="24"/>
              </w:rPr>
            </w:pPr>
          </w:p>
          <w:p w14:paraId="40B18E20" w14:textId="07E3F626" w:rsidR="002052E2" w:rsidRDefault="00B24E91" w:rsidP="00615F84">
            <w:pPr>
              <w:rPr>
                <w:rFonts w:ascii="Arial" w:eastAsia="Calibri" w:hAnsi="Arial" w:cs="Arial"/>
                <w:sz w:val="24"/>
                <w:szCs w:val="24"/>
              </w:rPr>
            </w:pPr>
            <w:r>
              <w:rPr>
                <w:rFonts w:ascii="Arial" w:eastAsia="Calibri" w:hAnsi="Arial" w:cs="Arial"/>
                <w:sz w:val="24"/>
                <w:szCs w:val="24"/>
              </w:rPr>
              <w:t xml:space="preserve">The sophistication of the victim and whether collusion exists can have an impact on the evidence gathering techniques(s) used. Sophisticated victims are not as likely to leave a trail. For example, documents could be shredded and disposed of in various dumpsters in several towns, making reassembling them nearly impossible or they could be destroyed by fire. Nailing a sophisticated victim can mean paying closer </w:t>
            </w:r>
            <w:r w:rsidR="00353194">
              <w:rPr>
                <w:rFonts w:ascii="Arial" w:eastAsia="Calibri" w:hAnsi="Arial" w:cs="Arial"/>
                <w:sz w:val="24"/>
                <w:szCs w:val="24"/>
              </w:rPr>
              <w:t>attention to documents for alterations and questioning the existence of documents and certain acts.</w:t>
            </w:r>
            <w:r>
              <w:rPr>
                <w:rFonts w:ascii="Arial" w:eastAsia="Calibri" w:hAnsi="Arial" w:cs="Arial"/>
                <w:sz w:val="24"/>
                <w:szCs w:val="24"/>
              </w:rPr>
              <w:t xml:space="preserve"> </w:t>
            </w:r>
          </w:p>
          <w:p w14:paraId="0C33E624" w14:textId="77777777" w:rsidR="00615F84" w:rsidRDefault="00615F84" w:rsidP="00615F84">
            <w:pPr>
              <w:rPr>
                <w:rFonts w:ascii="Arial" w:eastAsia="Calibri" w:hAnsi="Arial" w:cs="Arial"/>
                <w:sz w:val="24"/>
                <w:szCs w:val="24"/>
              </w:rPr>
            </w:pPr>
          </w:p>
          <w:p w14:paraId="3E109E16" w14:textId="77777777" w:rsidR="00615F84" w:rsidRDefault="00615F84" w:rsidP="00615F84">
            <w:pPr>
              <w:rPr>
                <w:rFonts w:ascii="Arial" w:eastAsia="Calibri" w:hAnsi="Arial" w:cs="Arial"/>
                <w:sz w:val="24"/>
                <w:szCs w:val="24"/>
              </w:rPr>
            </w:pPr>
          </w:p>
          <w:p w14:paraId="3E7E035E" w14:textId="77777777" w:rsidR="00EF7FD7" w:rsidRPr="00CC3ED2" w:rsidRDefault="00EF7FD7" w:rsidP="00EF7FD7">
            <w:pPr>
              <w:rPr>
                <w:rFonts w:ascii="Arial" w:hAnsi="Arial" w:cs="Arial"/>
                <w:sz w:val="24"/>
                <w:szCs w:val="24"/>
              </w:rPr>
            </w:pPr>
            <w:r w:rsidRPr="00CC3ED2">
              <w:rPr>
                <w:rFonts w:ascii="Arial" w:hAnsi="Arial" w:cs="Arial"/>
                <w:sz w:val="24"/>
                <w:szCs w:val="24"/>
              </w:rPr>
              <w:t>References:</w:t>
            </w:r>
          </w:p>
          <w:p w14:paraId="03540232" w14:textId="77777777" w:rsidR="00EF7FD7" w:rsidRPr="00CC3ED2" w:rsidRDefault="00EF7FD7" w:rsidP="00EF7FD7">
            <w:pPr>
              <w:rPr>
                <w:rFonts w:ascii="Arial" w:hAnsi="Arial" w:cs="Arial"/>
                <w:sz w:val="24"/>
                <w:szCs w:val="24"/>
              </w:rPr>
            </w:pPr>
          </w:p>
          <w:p w14:paraId="48E4F1DC" w14:textId="13525A11" w:rsidR="00EF7FD7" w:rsidRDefault="00EF7FD7" w:rsidP="00EF7FD7">
            <w:pPr>
              <w:rPr>
                <w:rFonts w:ascii="Arial" w:hAnsi="Arial" w:cs="Arial"/>
                <w:sz w:val="24"/>
                <w:szCs w:val="24"/>
              </w:rPr>
            </w:pPr>
            <w:r w:rsidRPr="00CC3ED2">
              <w:rPr>
                <w:rFonts w:ascii="Arial" w:hAnsi="Arial" w:cs="Arial"/>
                <w:sz w:val="24"/>
                <w:szCs w:val="24"/>
              </w:rPr>
              <w:t xml:space="preserve">Brentwood Open Learning </w:t>
            </w:r>
            <w:r>
              <w:rPr>
                <w:rFonts w:ascii="Arial" w:hAnsi="Arial" w:cs="Arial"/>
                <w:sz w:val="24"/>
                <w:szCs w:val="24"/>
              </w:rPr>
              <w:t xml:space="preserve">College; Study Materials on </w:t>
            </w:r>
            <w:r>
              <w:rPr>
                <w:rFonts w:ascii="Arial" w:hAnsi="Arial" w:cs="Arial"/>
                <w:sz w:val="24"/>
                <w:szCs w:val="24"/>
              </w:rPr>
              <w:t xml:space="preserve">Investigative Process. Unit Seven </w:t>
            </w:r>
            <w:r>
              <w:rPr>
                <w:rFonts w:ascii="Arial" w:hAnsi="Arial" w:cs="Arial"/>
                <w:sz w:val="24"/>
                <w:szCs w:val="24"/>
              </w:rPr>
              <w:t>(</w:t>
            </w:r>
            <w:r>
              <w:rPr>
                <w:rFonts w:ascii="Arial" w:hAnsi="Arial" w:cs="Arial"/>
                <w:sz w:val="24"/>
                <w:szCs w:val="24"/>
              </w:rPr>
              <w:t>7</w:t>
            </w:r>
            <w:r>
              <w:rPr>
                <w:rFonts w:ascii="Arial" w:hAnsi="Arial" w:cs="Arial"/>
                <w:sz w:val="24"/>
                <w:szCs w:val="24"/>
              </w:rPr>
              <w:t>)</w:t>
            </w:r>
          </w:p>
          <w:p w14:paraId="121F5985" w14:textId="77777777" w:rsidR="00EF7FD7" w:rsidRDefault="00EF7FD7" w:rsidP="00EF7FD7">
            <w:pPr>
              <w:rPr>
                <w:rFonts w:ascii="Arial" w:hAnsi="Arial" w:cs="Arial"/>
                <w:sz w:val="24"/>
                <w:szCs w:val="24"/>
              </w:rPr>
            </w:pPr>
          </w:p>
          <w:p w14:paraId="57BA1091" w14:textId="77777777" w:rsidR="00EF7FD7" w:rsidRDefault="00EF7FD7" w:rsidP="00EF7FD7">
            <w:pPr>
              <w:rPr>
                <w:rFonts w:ascii="Arial" w:hAnsi="Arial" w:cs="Arial"/>
                <w:sz w:val="24"/>
                <w:szCs w:val="24"/>
              </w:rPr>
            </w:pPr>
            <w:r>
              <w:rPr>
                <w:rFonts w:ascii="Arial" w:hAnsi="Arial" w:cs="Arial"/>
                <w:sz w:val="24"/>
                <w:szCs w:val="24"/>
              </w:rPr>
              <w:t>Stephen Pedneault, Frank Rudewicz, Micheal Sheetz and Howard Silverstone, 2012; Forensic Accounting and Fraud Investigation; 3</w:t>
            </w:r>
            <w:r w:rsidRPr="00CC3ED2">
              <w:rPr>
                <w:rFonts w:ascii="Arial" w:hAnsi="Arial" w:cs="Arial"/>
                <w:sz w:val="24"/>
                <w:szCs w:val="24"/>
                <w:vertAlign w:val="superscript"/>
              </w:rPr>
              <w:t>rd</w:t>
            </w:r>
            <w:r>
              <w:rPr>
                <w:rFonts w:ascii="Arial" w:hAnsi="Arial" w:cs="Arial"/>
                <w:sz w:val="24"/>
                <w:szCs w:val="24"/>
              </w:rPr>
              <w:t xml:space="preserve"> Edition.</w:t>
            </w:r>
          </w:p>
          <w:p w14:paraId="181A6EEF" w14:textId="77777777" w:rsidR="00EF7FD7" w:rsidRDefault="00EF7FD7" w:rsidP="00EF7FD7">
            <w:pPr>
              <w:rPr>
                <w:rFonts w:ascii="Arial" w:hAnsi="Arial" w:cs="Arial"/>
                <w:sz w:val="24"/>
                <w:szCs w:val="24"/>
              </w:rPr>
            </w:pPr>
          </w:p>
          <w:p w14:paraId="491E7BA6" w14:textId="77777777" w:rsidR="00EF7FD7" w:rsidRDefault="00EF7FD7" w:rsidP="00EF7FD7">
            <w:pPr>
              <w:rPr>
                <w:rFonts w:ascii="Arial" w:hAnsi="Arial" w:cs="Arial"/>
                <w:sz w:val="24"/>
                <w:szCs w:val="24"/>
              </w:rPr>
            </w:pPr>
            <w:r>
              <w:rPr>
                <w:rFonts w:ascii="Arial" w:hAnsi="Arial" w:cs="Arial"/>
                <w:sz w:val="24"/>
                <w:szCs w:val="24"/>
              </w:rPr>
              <w:t>William Hopwood, George Young, Jay Leiner, 2013; Forensic Accounting and Fraud Examination; African Edition; 2</w:t>
            </w:r>
            <w:r w:rsidRPr="00D4730F">
              <w:rPr>
                <w:rFonts w:ascii="Arial" w:hAnsi="Arial" w:cs="Arial"/>
                <w:sz w:val="24"/>
                <w:szCs w:val="24"/>
                <w:vertAlign w:val="superscript"/>
              </w:rPr>
              <w:t>nd</w:t>
            </w:r>
            <w:r>
              <w:rPr>
                <w:rFonts w:ascii="Arial" w:hAnsi="Arial" w:cs="Arial"/>
                <w:sz w:val="24"/>
                <w:szCs w:val="24"/>
              </w:rPr>
              <w:t xml:space="preserve"> Edition.</w:t>
            </w:r>
          </w:p>
          <w:p w14:paraId="1E8D95E0" w14:textId="77777777" w:rsidR="00615F84" w:rsidRDefault="00615F84" w:rsidP="00615F84">
            <w:pPr>
              <w:rPr>
                <w:b/>
              </w:rPr>
            </w:pPr>
          </w:p>
          <w:p w14:paraId="38BB6AB9" w14:textId="77777777" w:rsidR="00CC2FB3" w:rsidRDefault="00CC2FB3" w:rsidP="00A851DA">
            <w:pPr>
              <w:rPr>
                <w:b/>
              </w:rPr>
            </w:pPr>
          </w:p>
          <w:p w14:paraId="5A296816" w14:textId="77777777" w:rsidR="00CC2FB3" w:rsidRDefault="00CC2FB3" w:rsidP="00A851DA">
            <w:pPr>
              <w:rPr>
                <w:b/>
              </w:rPr>
            </w:pPr>
          </w:p>
        </w:tc>
      </w:tr>
    </w:tbl>
    <w:p w14:paraId="49A4D81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403EB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57C50F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3B82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19A9F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9A3EA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6333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4"/>
        <w:gridCol w:w="1247"/>
        <w:gridCol w:w="1601"/>
      </w:tblGrid>
      <w:tr w:rsidR="00405895" w:rsidRPr="00B0415E" w14:paraId="1D036361" w14:textId="77777777" w:rsidTr="00405895">
        <w:tc>
          <w:tcPr>
            <w:tcW w:w="2310" w:type="dxa"/>
            <w:shd w:val="clear" w:color="auto" w:fill="D9D9D9" w:themeFill="background1" w:themeFillShade="D9"/>
          </w:tcPr>
          <w:p w14:paraId="46BBF91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44EB7CD" w14:textId="77777777" w:rsidR="00405895" w:rsidRPr="00B0415E" w:rsidRDefault="00615F84" w:rsidP="00A851DA">
            <w:pPr>
              <w:rPr>
                <w:rFonts w:cs="Bliss-Regular"/>
                <w:color w:val="000000"/>
              </w:rPr>
            </w:pPr>
            <w:r>
              <w:rPr>
                <w:rFonts w:cs="Bliss-Regular"/>
                <w:color w:val="000000"/>
              </w:rPr>
              <w:t>OBASI KINGSEY IKECHUKWU</w:t>
            </w:r>
          </w:p>
        </w:tc>
        <w:tc>
          <w:tcPr>
            <w:tcW w:w="1276" w:type="dxa"/>
            <w:shd w:val="clear" w:color="auto" w:fill="D9D9D9" w:themeFill="background1" w:themeFillShade="D9"/>
          </w:tcPr>
          <w:p w14:paraId="4AEDF6E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6260E68" w14:textId="77777777" w:rsidR="00405895" w:rsidRPr="00B0415E" w:rsidRDefault="00615F84" w:rsidP="00A851DA">
            <w:pPr>
              <w:rPr>
                <w:rFonts w:cs="Bliss-Regular"/>
                <w:color w:val="000000"/>
              </w:rPr>
            </w:pPr>
            <w:r>
              <w:rPr>
                <w:rFonts w:cs="Bliss-Regular"/>
                <w:color w:val="000000"/>
              </w:rPr>
              <w:t>29/8/2018</w:t>
            </w:r>
          </w:p>
        </w:tc>
      </w:tr>
    </w:tbl>
    <w:p w14:paraId="2608518A" w14:textId="77777777" w:rsidR="00A851DA" w:rsidRPr="00B0415E" w:rsidRDefault="00A851DA" w:rsidP="00A851DA">
      <w:pPr>
        <w:rPr>
          <w:rFonts w:cs="Bliss-Regular"/>
          <w:color w:val="000000"/>
          <w:lang w:val="en-US"/>
        </w:rPr>
      </w:pPr>
    </w:p>
    <w:p w14:paraId="282CD1AF" w14:textId="77777777" w:rsidR="00A851DA" w:rsidRPr="00B0415E" w:rsidRDefault="00A851DA" w:rsidP="00A851DA">
      <w:pPr>
        <w:rPr>
          <w:rFonts w:cs="Bliss-Regular"/>
          <w:color w:val="000000"/>
          <w:lang w:val="en-US"/>
        </w:rPr>
      </w:pPr>
    </w:p>
    <w:p w14:paraId="5A74E30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54C3E30" w14:textId="77777777" w:rsidTr="00B0415E">
        <w:trPr>
          <w:trHeight w:val="249"/>
        </w:trPr>
        <w:tc>
          <w:tcPr>
            <w:tcW w:w="4621" w:type="dxa"/>
            <w:shd w:val="clear" w:color="auto" w:fill="D9D9D9" w:themeFill="background1" w:themeFillShade="D9"/>
          </w:tcPr>
          <w:p w14:paraId="5136E6E0" w14:textId="77777777" w:rsidR="00503D7E" w:rsidRPr="00B0415E" w:rsidRDefault="00503D7E" w:rsidP="00503D7E">
            <w:pPr>
              <w:rPr>
                <w:b/>
                <w:color w:val="002060"/>
              </w:rPr>
            </w:pPr>
            <w:r w:rsidRPr="00B0415E">
              <w:rPr>
                <w:b/>
                <w:color w:val="002060"/>
              </w:rPr>
              <w:t>Total Marks</w:t>
            </w:r>
          </w:p>
        </w:tc>
        <w:tc>
          <w:tcPr>
            <w:tcW w:w="4621" w:type="dxa"/>
          </w:tcPr>
          <w:p w14:paraId="4243FCF6" w14:textId="77777777" w:rsidR="00503D7E" w:rsidRPr="00B0415E" w:rsidRDefault="00503D7E" w:rsidP="00503D7E">
            <w:pPr>
              <w:rPr>
                <w:rFonts w:cs="Times New Roman"/>
                <w:szCs w:val="32"/>
              </w:rPr>
            </w:pPr>
          </w:p>
        </w:tc>
      </w:tr>
      <w:tr w:rsidR="00503D7E" w:rsidRPr="00B0415E" w14:paraId="48E1F60D" w14:textId="77777777" w:rsidTr="00B0415E">
        <w:tc>
          <w:tcPr>
            <w:tcW w:w="4621" w:type="dxa"/>
            <w:shd w:val="clear" w:color="auto" w:fill="D9D9D9" w:themeFill="background1" w:themeFillShade="D9"/>
          </w:tcPr>
          <w:p w14:paraId="18FA8298" w14:textId="77777777" w:rsidR="00503D7E" w:rsidRPr="00B0415E" w:rsidRDefault="00503D7E" w:rsidP="00503D7E">
            <w:pPr>
              <w:rPr>
                <w:b/>
                <w:color w:val="002060"/>
              </w:rPr>
            </w:pPr>
            <w:r w:rsidRPr="00B0415E">
              <w:rPr>
                <w:b/>
                <w:color w:val="002060"/>
              </w:rPr>
              <w:t>Marks Obtained</w:t>
            </w:r>
          </w:p>
        </w:tc>
        <w:tc>
          <w:tcPr>
            <w:tcW w:w="4621" w:type="dxa"/>
          </w:tcPr>
          <w:p w14:paraId="5D70BBD0" w14:textId="77777777" w:rsidR="00503D7E" w:rsidRPr="00B0415E" w:rsidRDefault="00503D7E" w:rsidP="00503D7E">
            <w:pPr>
              <w:rPr>
                <w:rFonts w:cs="Times New Roman"/>
                <w:szCs w:val="32"/>
              </w:rPr>
            </w:pPr>
          </w:p>
        </w:tc>
      </w:tr>
      <w:tr w:rsidR="00503D7E" w:rsidRPr="00B0415E" w14:paraId="56FB5E12" w14:textId="77777777" w:rsidTr="00B0415E">
        <w:tc>
          <w:tcPr>
            <w:tcW w:w="4621" w:type="dxa"/>
            <w:shd w:val="clear" w:color="auto" w:fill="D9D9D9" w:themeFill="background1" w:themeFillShade="D9"/>
          </w:tcPr>
          <w:p w14:paraId="1FA9223F" w14:textId="77777777" w:rsidR="00503D7E" w:rsidRPr="00B0415E" w:rsidRDefault="00B0415E" w:rsidP="00503D7E">
            <w:pPr>
              <w:rPr>
                <w:b/>
                <w:color w:val="002060"/>
              </w:rPr>
            </w:pPr>
            <w:r w:rsidRPr="00B0415E">
              <w:rPr>
                <w:b/>
                <w:color w:val="002060"/>
              </w:rPr>
              <w:t>Percentage / Grade</w:t>
            </w:r>
          </w:p>
        </w:tc>
        <w:tc>
          <w:tcPr>
            <w:tcW w:w="4621" w:type="dxa"/>
          </w:tcPr>
          <w:p w14:paraId="36939657" w14:textId="77777777" w:rsidR="00503D7E" w:rsidRPr="00B0415E" w:rsidRDefault="00503D7E" w:rsidP="00503D7E">
            <w:pPr>
              <w:rPr>
                <w:rFonts w:cs="Times New Roman"/>
                <w:szCs w:val="32"/>
              </w:rPr>
            </w:pPr>
          </w:p>
        </w:tc>
      </w:tr>
    </w:tbl>
    <w:p w14:paraId="0454C9E9" w14:textId="77777777" w:rsidR="00A851DA" w:rsidRDefault="00A851DA" w:rsidP="00503D7E">
      <w:pPr>
        <w:rPr>
          <w:rFonts w:cs="Times New Roman"/>
          <w:sz w:val="24"/>
          <w:szCs w:val="32"/>
        </w:rPr>
      </w:pPr>
    </w:p>
    <w:p w14:paraId="43D29C4D" w14:textId="77777777" w:rsidR="00607874" w:rsidRDefault="00607874" w:rsidP="00503D7E">
      <w:pPr>
        <w:rPr>
          <w:rFonts w:cs="Times New Roman"/>
          <w:sz w:val="24"/>
          <w:szCs w:val="32"/>
        </w:rPr>
      </w:pPr>
    </w:p>
    <w:p w14:paraId="01C319B5" w14:textId="77777777" w:rsidR="00607874" w:rsidRDefault="00607874" w:rsidP="00503D7E">
      <w:pPr>
        <w:rPr>
          <w:rFonts w:cs="Times New Roman"/>
          <w:sz w:val="24"/>
          <w:szCs w:val="32"/>
        </w:rPr>
      </w:pPr>
    </w:p>
    <w:p w14:paraId="34BDDF2A" w14:textId="77777777" w:rsidR="00607874" w:rsidRDefault="00607874" w:rsidP="00503D7E">
      <w:pPr>
        <w:rPr>
          <w:rFonts w:cs="Times New Roman"/>
          <w:sz w:val="24"/>
          <w:szCs w:val="32"/>
        </w:rPr>
      </w:pPr>
    </w:p>
    <w:p w14:paraId="732720C1" w14:textId="77777777" w:rsidR="00607874" w:rsidRDefault="00607874" w:rsidP="00503D7E">
      <w:pPr>
        <w:rPr>
          <w:rFonts w:cs="Times New Roman"/>
          <w:sz w:val="24"/>
          <w:szCs w:val="32"/>
        </w:rPr>
      </w:pPr>
    </w:p>
    <w:p w14:paraId="3F207C6E" w14:textId="77777777" w:rsidR="00607874" w:rsidRDefault="00607874" w:rsidP="00503D7E">
      <w:pPr>
        <w:rPr>
          <w:rFonts w:cs="Times New Roman"/>
          <w:sz w:val="24"/>
          <w:szCs w:val="32"/>
        </w:rPr>
      </w:pPr>
    </w:p>
    <w:p w14:paraId="5C526C97" w14:textId="77777777" w:rsidR="00607874" w:rsidRDefault="00607874" w:rsidP="00503D7E">
      <w:pPr>
        <w:rPr>
          <w:rFonts w:cs="Times New Roman"/>
          <w:sz w:val="24"/>
          <w:szCs w:val="32"/>
        </w:rPr>
      </w:pPr>
    </w:p>
    <w:p w14:paraId="611CB485" w14:textId="77777777" w:rsidR="00607874" w:rsidRDefault="00607874" w:rsidP="00503D7E">
      <w:pPr>
        <w:rPr>
          <w:rFonts w:cs="Times New Roman"/>
          <w:sz w:val="24"/>
          <w:szCs w:val="32"/>
        </w:rPr>
      </w:pPr>
    </w:p>
    <w:p w14:paraId="25464017" w14:textId="77777777" w:rsidR="00EA30AB" w:rsidRDefault="00EA30AB" w:rsidP="00503D7E">
      <w:pPr>
        <w:rPr>
          <w:rFonts w:cs="Times New Roman"/>
          <w:sz w:val="24"/>
          <w:szCs w:val="32"/>
        </w:rPr>
      </w:pPr>
    </w:p>
    <w:p w14:paraId="131569CE" w14:textId="77777777" w:rsidR="00EA30AB" w:rsidRDefault="00EA30AB" w:rsidP="00503D7E">
      <w:pPr>
        <w:rPr>
          <w:rFonts w:cs="Times New Roman"/>
          <w:sz w:val="24"/>
          <w:szCs w:val="32"/>
        </w:rPr>
      </w:pPr>
    </w:p>
    <w:p w14:paraId="3788C73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40E13" w14:textId="77777777" w:rsidR="00C53029" w:rsidRDefault="00C53029" w:rsidP="00CB4D0A">
      <w:pPr>
        <w:spacing w:after="0" w:line="240" w:lineRule="auto"/>
      </w:pPr>
      <w:r>
        <w:separator/>
      </w:r>
    </w:p>
  </w:endnote>
  <w:endnote w:type="continuationSeparator" w:id="0">
    <w:p w14:paraId="300217F1"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94914" w14:textId="77777777" w:rsidR="00C53029" w:rsidRDefault="00C53029" w:rsidP="00CB4D0A">
      <w:pPr>
        <w:spacing w:after="0" w:line="240" w:lineRule="auto"/>
      </w:pPr>
      <w:r>
        <w:separator/>
      </w:r>
    </w:p>
  </w:footnote>
  <w:footnote w:type="continuationSeparator" w:id="0">
    <w:p w14:paraId="647496AD"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483D"/>
    <w:multiLevelType w:val="hybridMultilevel"/>
    <w:tmpl w:val="3012B150"/>
    <w:lvl w:ilvl="0" w:tplc="FF48147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4466FAC"/>
    <w:multiLevelType w:val="hybridMultilevel"/>
    <w:tmpl w:val="0AF0DB90"/>
    <w:lvl w:ilvl="0" w:tplc="00F073F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EE18BB"/>
    <w:multiLevelType w:val="hybridMultilevel"/>
    <w:tmpl w:val="31B2001E"/>
    <w:lvl w:ilvl="0" w:tplc="9186268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D374146"/>
    <w:multiLevelType w:val="hybridMultilevel"/>
    <w:tmpl w:val="3F0E7CBE"/>
    <w:lvl w:ilvl="0" w:tplc="AABA20BC">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52E2"/>
    <w:rsid w:val="00206B9D"/>
    <w:rsid w:val="0023259C"/>
    <w:rsid w:val="002B0BD7"/>
    <w:rsid w:val="002B573D"/>
    <w:rsid w:val="002C5CB2"/>
    <w:rsid w:val="002F779F"/>
    <w:rsid w:val="0035319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F84"/>
    <w:rsid w:val="00617BB3"/>
    <w:rsid w:val="00645CDD"/>
    <w:rsid w:val="006823A7"/>
    <w:rsid w:val="00687EE8"/>
    <w:rsid w:val="0070347F"/>
    <w:rsid w:val="0070678E"/>
    <w:rsid w:val="00727B82"/>
    <w:rsid w:val="00831C11"/>
    <w:rsid w:val="008A60B4"/>
    <w:rsid w:val="008B3C31"/>
    <w:rsid w:val="008B64FE"/>
    <w:rsid w:val="00935BF7"/>
    <w:rsid w:val="0095442C"/>
    <w:rsid w:val="00983942"/>
    <w:rsid w:val="00996411"/>
    <w:rsid w:val="009C37E0"/>
    <w:rsid w:val="009E41F4"/>
    <w:rsid w:val="00A14B66"/>
    <w:rsid w:val="00A65CF7"/>
    <w:rsid w:val="00A81AB4"/>
    <w:rsid w:val="00A851DA"/>
    <w:rsid w:val="00AC7D5B"/>
    <w:rsid w:val="00AE1481"/>
    <w:rsid w:val="00B0415E"/>
    <w:rsid w:val="00B04678"/>
    <w:rsid w:val="00B23D54"/>
    <w:rsid w:val="00B24E9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7FD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6B12088"/>
  <w15:docId w15:val="{D62FF8A2-8F28-420C-B7BB-92E45A2CC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41852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4143F-D9B9-4FFA-BE03-A5A24B8C5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1836</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Kingsley Obasi</cp:lastModifiedBy>
  <cp:revision>2</cp:revision>
  <dcterms:created xsi:type="dcterms:W3CDTF">2015-01-26T12:24:00Z</dcterms:created>
  <dcterms:modified xsi:type="dcterms:W3CDTF">2018-08-29T04:22:00Z</dcterms:modified>
</cp:coreProperties>
</file>