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rotWithShape="1">
                    <a:blip r:embed="rId4">
                      <a:extLst/>
                    </a:blip>
                    <a:srcRect l="20320" t="20000" r="23669" b="32001"/>
                    <a:stretch>
                      <a:fillRect/>
                    </a:stretch>
                  </pic:blipFill>
                  <pic:spPr>
                    <a:xfrm>
                      <a:off x="0" y="0"/>
                      <a:ext cx="2809876" cy="1419226"/>
                    </a:xfrm>
                    <a:prstGeom prst="rect">
                      <a:avLst/>
                    </a:prstGeom>
                    <a:noFill/>
                    <a:ln>
                      <a:noFill/>
                    </a:ln>
                    <a:effectLst/>
                    <a:extLst/>
                  </pic:spPr>
                </pic:pic>
              </a:graphicData>
            </a:graphic>
          </wp:anchor>
        </w:drawing>
      </w:r>
      <w:r>
        <w:rPr>
          <w:rFonts w:ascii="Calibri" w:cs="Calibri" w:hAnsi="Calibri" w:eastAsia="Calibri"/>
          <w:rtl w:val="0"/>
          <w:lang w:val="en-US"/>
        </w:rPr>
        <w:t xml:space="preserve">                                                                  </w:t>
      </w:r>
    </w:p>
    <w:p>
      <w:pPr>
        <w:pStyle w:val="Body"/>
        <w:rPr>
          <w:color w:val="000000"/>
          <w:u w:color="000000"/>
          <w:lang w:val="en-US"/>
        </w:rPr>
      </w:pPr>
      <w:r>
        <w:rPr>
          <w:color w:val="000000"/>
          <w:u w:color="000000"/>
          <w:rtl w:val="0"/>
        </w:rP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599" y="0"/>
                                </a:lnTo>
                                <a:lnTo>
                                  <a:pt x="21599" y="21600"/>
                                </a:lnTo>
                                <a:lnTo>
                                  <a:pt x="0" y="21600"/>
                                </a:lnTo>
                                <a:close/>
                              </a:path>
                            </a:pathLst>
                          </a:custGeom>
                          <a:solidFill>
                            <a:srgbClr val="FFFFFF"/>
                          </a:soli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upright="0">
                          <a:prstTxWarp prst="textNoShape"/>
                          <a:noAutofit/>
                        </wps:bodyPr>
                      </wps:wsp>
                      <wps:wsp>
                        <wps:cNvPr id="1073741827" name="Shape 1073741827"/>
                        <wps:cNvSpPr/>
                        <wps:spPr>
                          <a:xfrm>
                            <a:off x="0" y="0"/>
                            <a:ext cx="3114040" cy="46672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599" y="0"/>
                                </a:lnTo>
                                <a:lnTo>
                                  <a:pt x="21599" y="21600"/>
                                </a:lnTo>
                                <a:lnTo>
                                  <a:pt x="0" y="21600"/>
                                </a:lnTo>
                                <a:close/>
                              </a:path>
                            </a:pathLst>
                          </a:custGeom>
                          <a:noFill/>
                          <a:ln>
                            <a:noFill/>
                          </a:ln>
                          <a:effectLst/>
                          <a:extLst/>
                        </wps:spPr>
                        <wps:style>
                          <a:lnRef idx="1">
                            <a:schemeClr val="accent1"/>
                          </a:lnRef>
                          <a:fillRef idx="3">
                            <a:schemeClr val="accent1"/>
                          </a:fillRef>
                          <a:effectRef idx="2">
                            <a:schemeClr val="accent1"/>
                          </a:effectRef>
                          <a:fontRef idx="minor">
                            <a:schemeClr val="tx1"/>
                          </a:fontRef>
                        </wps:style>
                        <wps:txbx>
                          <w:txbxContent>
                            <w:p>
                              <w:pPr>
                                <w:pStyle w:val="Body"/>
                                <w:jc w:val="center"/>
                              </w:pPr>
                              <w:r>
                                <w:rPr>
                                  <w:color w:val="000000"/>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rot="0" spcFirstLastPara="1" vertOverflow="overflow" horzOverflow="overflow" vert="horz" wrap="square" lIns="45719" tIns="45719" rIns="45719" bIns="45719" numCol="1" spcCol="38100" rtlCol="0" anchor="t" upright="0">
                          <a:prstTxWarp prst="textNoShape"/>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shape id="_x0000_s1027" style="position:absolute;left:0;top:0;width:3114040;height:466725;" coordorigin="0,0" coordsize="21600,21600" path="M 0,0 L 21599,0 L 21599,21600 L 0,21600 X E">
                  <v:fill color="#FFFFFF" opacity="100.0%" type="solid"/>
                  <v:stroke on="f" weight="1.0pt" dashstyle="solid" endcap="flat" miterlimit="400.0%" joinstyle="miter" linestyle="single"/>
                </v:shape>
                <v:shape id="_x0000_s1028" style="position:absolute;left:0;top:0;width:3114040;height:466725;" coordorigin="0,0" coordsize="21600,21600" path="M 0,0 L 21599,0 L 21599,21600 L 0,21600 X E">
                  <v:fill on="f"/>
                  <v:stroke on="f" weight="1.0pt" dashstyle="solid" endcap="flat" miterlimit="400.0%" joinstyle="miter" linestyle="single"/>
                  <v:textbox>
                    <w:txbxContent>
                      <w:p>
                        <w:pPr>
                          <w:pStyle w:val="Body"/>
                          <w:jc w:val="center"/>
                        </w:pPr>
                        <w:r>
                          <w:rPr>
                            <w:color w:val="000000"/>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shape>
              </v:group>
            </w:pict>
          </mc:Fallback>
        </mc:AlternateContent>
      </w:r>
    </w:p>
    <w:p>
      <w:pPr>
        <w:pStyle w:val="Body"/>
        <w:rPr>
          <w:color w:val="000000"/>
          <w:u w:color="000000"/>
          <w:lang w:val="en-US"/>
        </w:rPr>
      </w:pPr>
    </w:p>
    <w:p>
      <w:pPr>
        <w:pStyle w:val="Body"/>
        <w:rPr>
          <w:color w:val="000000"/>
          <w:u w:color="000000"/>
          <w:lang w:val="en-US"/>
        </w:rPr>
      </w:pPr>
    </w:p>
    <w:p>
      <w:pPr>
        <w:pStyle w:val="Body"/>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sz w:val="24"/>
                <w:szCs w:val="24"/>
              </w:rPr>
              <w:t>Patrick Sharkey</w:t>
            </w:r>
          </w:p>
        </w:tc>
      </w:tr>
      <w:tr>
        <w:tblPrEx>
          <w:shd w:val="clear" w:color="auto" w:fill="auto"/>
        </w:tblPrEx>
        <w:trPr>
          <w:trHeight w:val="2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sz w:val="24"/>
                <w:szCs w:val="24"/>
              </w:rPr>
              <w:t>20517</w:t>
            </w:r>
          </w:p>
        </w:tc>
      </w:tr>
      <w:tr>
        <w:tblPrEx>
          <w:shd w:val="clear" w:color="auto" w:fill="auto"/>
        </w:tblPrEx>
        <w:trPr>
          <w:trHeight w:val="2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sz w:val="24"/>
                <w:szCs w:val="24"/>
              </w:rPr>
              <w:t>Nutrition</w:t>
            </w:r>
          </w:p>
        </w:tc>
      </w:tr>
      <w:tr>
        <w:tblPrEx>
          <w:shd w:val="clear" w:color="auto" w:fill="auto"/>
        </w:tblPrEx>
        <w:trPr>
          <w:trHeight w:val="18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t>1</w:t>
            </w:r>
          </w:p>
        </w:tc>
      </w:tr>
    </w:tbl>
    <w:p>
      <w:pPr>
        <w:pStyle w:val="Body"/>
        <w:rPr>
          <w:color w:val="000000"/>
          <w:u w:color="000000"/>
          <w:lang w:val="en-US"/>
        </w:rPr>
      </w:pPr>
    </w:p>
    <w:p>
      <w:pPr>
        <w:pStyle w:val="Body"/>
        <w:rPr>
          <w:rFonts w:ascii="Calibri" w:cs="Calibri" w:hAnsi="Calibri" w:eastAsia="Calibri"/>
          <w:b w:val="1"/>
          <w:bCs w:val="1"/>
          <w:color w:val="000000"/>
          <w:u w:color="000000"/>
          <w:lang w:val="en-US"/>
        </w:rPr>
      </w:pPr>
    </w:p>
    <w:p>
      <w:pPr>
        <w:pStyle w:val="Body"/>
        <w:rPr>
          <w:rFonts w:ascii="Calibri" w:cs="Calibri" w:hAnsi="Calibri" w:eastAsia="Calibri"/>
          <w:b w:val="1"/>
          <w:bCs w:val="1"/>
          <w:color w:val="000000"/>
          <w:sz w:val="28"/>
          <w:szCs w:val="28"/>
          <w:u w:color="000000"/>
          <w:lang w:val="en-US"/>
        </w:rPr>
      </w:pPr>
      <w:r>
        <w:rPr>
          <w:rFonts w:ascii="Calibri" w:cs="Calibri" w:hAnsi="Calibri" w:eastAsia="Calibri"/>
          <w:b w:val="1"/>
          <w:bCs w:val="1"/>
          <w:color w:val="000000"/>
          <w:sz w:val="28"/>
          <w:szCs w:val="28"/>
          <w:u w:color="000000"/>
          <w:rtl w:val="0"/>
          <w:lang w:val="en-US"/>
        </w:rPr>
        <w:t>Marking Criteria:</w:t>
      </w:r>
    </w:p>
    <w:p>
      <w:pPr>
        <w:pStyle w:val="Body"/>
        <w:rPr>
          <w:color w:val="000000"/>
          <w:u w:color="000000"/>
          <w:lang w:val="en-US"/>
        </w:rPr>
      </w:pPr>
      <w:r>
        <w:rPr>
          <w:rFonts w:ascii="Calibri" w:cs="Calibri" w:hAnsi="Calibri" w:eastAsia="Calibri"/>
          <w:b w:val="1"/>
          <w:bCs w:val="1"/>
          <w:color w:val="000000"/>
          <w:u w:color="000000"/>
          <w:rtl w:val="0"/>
          <w:lang w:val="en-US"/>
        </w:rPr>
        <w:t xml:space="preserve"> </w:t>
      </w:r>
      <w:r>
        <w:rPr>
          <w:color w:val="000000"/>
          <w:u w:color="000000"/>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color w:val="000000"/>
          <w:u w:color="000000"/>
          <w:lang w:val="en-US"/>
        </w:rPr>
      </w:pPr>
      <w:r>
        <w:rPr>
          <w:color w:val="000000"/>
          <w:u w:color="000000"/>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2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1.)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2.)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3.)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4.)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5.)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6.)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7.)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8.)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9.)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10.) You guys need to proof read.  The answer is BMI = Weight/Height(in meters squared)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t>Short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1.) Energy requirements are different for different people because different people have different needs and lifestyles.  Those who exercise more will require more energy, those who do less require less. Age and gender also plays a part in how much energy is to be taken in.  Also when it comes to height as well as the more there is of someone the higher their need for calorie intake.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 xml:space="preserve">2.) BMI is the Body Mass Index and is a way of determining someone's overall health so far as body fat and makes it relative to one's height ad body shape. It's limitations are if someone has as larg amount of muscle.  It is calculated by dividing someone's weight in kilograms by their heigh in meters squared.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3.) Whole foods are things that are not processed and aren't overly refined.  They are things made from grains, fruit, vegetables, meat, fish and dairy that has not been tampered with, are often raw or minimally processed. Often as close to their natural state as possible.  They can be cooked, however it is more about how many nutrients are stripped or lost in the process.  As sometimes cooking can enhance the nutritional value of certain foods.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4.) Refined foods are foods which have been processed so that most nutrients have been stripped away from them.  Often they won't provide any, but they can actually rob the body of stored nutrients due to the energy needed to break them down.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5.) Basal metabolic rate is that which is needed to keep the basic bodily functions like breathing, digesting, heart beating, thinking and so on going.  However Total Energy Expenditure is that with the addition of things like physical activity, both that which is obligatory and discretionary. Or perhaps things such as growing, pregnancy lactating and so on which are additional energy expenditures which become unique to the individual.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 xml:space="preserve">6.) Micro-nutrients are needed in small, or trace, quantities.  They are essential for the ability to use and process macronutrients effectively.  The are mostly vitamins and minerals.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t xml:space="preserve">Case Study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b w:val="0"/>
                <w:bCs w:val="0"/>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1.)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2.)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t>3.)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Table Grid"/>
            </w:pPr>
            <w:r>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r>
          </w:p>
        </w:tc>
      </w:tr>
    </w:tbl>
    <w:p>
      <w:pPr>
        <w:pStyle w:val="Body"/>
        <w:rPr>
          <w:color w:val="000000"/>
          <w:u w:color="000000"/>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18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t>Patrick Sharkey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t>10/05</w:t>
            </w:r>
          </w:p>
        </w:tc>
      </w:tr>
    </w:tbl>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color w:val="000000"/>
          <w:sz w:val="32"/>
          <w:szCs w:val="32"/>
          <w:u w:color="000000"/>
          <w:lang w:val="en-US"/>
        </w:rPr>
      </w:pPr>
      <w:r>
        <w:rPr>
          <w:rFonts w:ascii="Calibri" w:cs="Calibri" w:hAnsi="Calibri" w:eastAsia="Calibri"/>
          <w:b w:val="1"/>
          <w:bCs w:val="1"/>
          <w:color w:val="000000"/>
          <w:sz w:val="28"/>
          <w:szCs w:val="28"/>
          <w:u w:color="000000"/>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89"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8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8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rPr>
          <w:rFonts w:ascii="Calibri" w:cs="Calibri" w:hAnsi="Calibri" w:eastAsia="Calibri"/>
          <w:b w:val="1"/>
          <w:bCs w:val="1"/>
          <w:color w:val="000000"/>
          <w:sz w:val="32"/>
          <w:szCs w:val="32"/>
          <w:u w:color="000000"/>
          <w:lang w:val="en-US"/>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pPr>
      <w:r>
        <w:rPr>
          <w:color w:val="000000"/>
          <w:sz w:val="24"/>
          <w:szCs w:val="24"/>
          <w:u w:color="000000"/>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Table Grid">
    <w:name w:val="Table Grid"/>
    <w:next w:val="Table Gri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png"/><Relationship Id="rId5" Type="http://schemas.openxmlformats.org/officeDocument/2006/relationships/header" Target="header.xml"/><Relationship Id="rId6"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