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CA2C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00AFC5" wp14:editId="7C6402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FDF313" w14:textId="4207C17E" w:rsidR="00607874" w:rsidRDefault="00530FD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3CCD548" wp14:editId="7F3226CF">
                <wp:simplePos x="0" y="0"/>
                <wp:positionH relativeFrom="column">
                  <wp:posOffset>2889885</wp:posOffset>
                </wp:positionH>
                <wp:positionV relativeFrom="paragraph">
                  <wp:posOffset>99695</wp:posOffset>
                </wp:positionV>
                <wp:extent cx="3114040" cy="466725"/>
                <wp:effectExtent l="0" t="0" r="317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AFB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717F1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CD54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YD4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dTGdlPN0MUmz8rqcpUVZ3K6/hwCzomoFY1zdCcWPDMyKv+vwYRZG7kQOor7G5RSqE/P6&#10;Y5Jp/H6XZCc8DKQUXY0XJyNShca+VgzSJpUnQo775Hn4scpQg+M/ViXSIHR+5IAfNgOgBG5sNHsE&#10;QlgN/YLWwisCm1bbrxj1MJE1dl92xHKM5FsFpCqzIjDAR6GYznMQ7Llmc64higJUjT1G4/bGj2O/&#10;M1ZsW/A00ljpKyBiIyJHnqI60BemLiZzeCHCWJ/L0erpHVv9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g/VYD4ACAAAP&#10;BQAADgAAAAAAAAAAAAAAAAAsAgAAZHJzL2Uyb0RvYy54bWxQSwECLQAUAAYACAAAACEAKcTYW90A&#10;AAAJAQAADwAAAAAAAAAAAAAAAADYBAAAZHJzL2Rvd25yZXYueG1sUEsFBgAAAAAEAAQA8wAAAOIF&#10;AAAAAA==&#10;" stroked="f">
                <v:textbox>
                  <w:txbxContent>
                    <w:p w14:paraId="6EAAFB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717F14" w14:textId="77777777" w:rsidR="00405895" w:rsidRDefault="00405895"/>
                  </w:txbxContent>
                </v:textbox>
              </v:shape>
            </w:pict>
          </mc:Fallback>
        </mc:AlternateContent>
      </w:r>
    </w:p>
    <w:p w14:paraId="1F631BFC" w14:textId="77777777" w:rsidR="00607874" w:rsidRDefault="00607874" w:rsidP="00A851DA">
      <w:pPr>
        <w:rPr>
          <w:lang w:val="en-US"/>
        </w:rPr>
      </w:pPr>
    </w:p>
    <w:p w14:paraId="38356498" w14:textId="77777777" w:rsidR="00607874" w:rsidRDefault="00607874" w:rsidP="00A851DA">
      <w:pPr>
        <w:rPr>
          <w:lang w:val="en-US"/>
        </w:rPr>
      </w:pPr>
    </w:p>
    <w:p w14:paraId="7360F11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71902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0DB8F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E7E1C85" w14:textId="77777777" w:rsidR="00A851DA" w:rsidRPr="00B0415E" w:rsidRDefault="00530FDB">
            <w:pPr>
              <w:pStyle w:val="Default"/>
              <w:rPr>
                <w:rFonts w:asciiTheme="minorHAnsi" w:hAnsiTheme="minorHAnsi"/>
              </w:rPr>
            </w:pPr>
            <w:r>
              <w:rPr>
                <w:rFonts w:asciiTheme="minorHAnsi" w:hAnsiTheme="minorHAnsi"/>
              </w:rPr>
              <w:t>Lauren Stewart</w:t>
            </w:r>
          </w:p>
        </w:tc>
      </w:tr>
      <w:tr w:rsidR="00A851DA" w:rsidRPr="00B0415E" w14:paraId="0787360C" w14:textId="77777777" w:rsidTr="00530FDB">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F3C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684E0D" w14:textId="77777777" w:rsidR="00A851DA" w:rsidRPr="00B0415E" w:rsidRDefault="00530FDB">
            <w:pPr>
              <w:pStyle w:val="Default"/>
              <w:rPr>
                <w:rFonts w:asciiTheme="minorHAnsi" w:hAnsiTheme="minorHAnsi"/>
              </w:rPr>
            </w:pPr>
            <w:r>
              <w:rPr>
                <w:rFonts w:asciiTheme="minorHAnsi" w:hAnsiTheme="minorHAnsi"/>
              </w:rPr>
              <w:t>29134</w:t>
            </w:r>
          </w:p>
        </w:tc>
      </w:tr>
      <w:tr w:rsidR="00A851DA" w:rsidRPr="00B0415E" w14:paraId="2502DD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11E5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668B83" w14:textId="103CD09E" w:rsidR="00A851DA" w:rsidRPr="00B0415E" w:rsidRDefault="00856FC9">
            <w:pPr>
              <w:pStyle w:val="Default"/>
              <w:rPr>
                <w:rFonts w:asciiTheme="minorHAnsi" w:hAnsiTheme="minorHAnsi"/>
              </w:rPr>
            </w:pPr>
            <w:r>
              <w:rPr>
                <w:rFonts w:asciiTheme="minorHAnsi" w:hAnsiTheme="minorHAnsi"/>
              </w:rPr>
              <w:t>Environmental Policy</w:t>
            </w:r>
            <w:bookmarkStart w:id="0" w:name="_GoBack"/>
            <w:bookmarkEnd w:id="0"/>
          </w:p>
        </w:tc>
      </w:tr>
      <w:tr w:rsidR="00A851DA" w:rsidRPr="00B0415E" w14:paraId="69FD909D" w14:textId="77777777" w:rsidTr="00530FDB">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EA323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94A7FE" w14:textId="7519C99A" w:rsidR="00A851DA" w:rsidRPr="00B0415E" w:rsidRDefault="00856FC9">
            <w:r>
              <w:t>4</w:t>
            </w:r>
          </w:p>
        </w:tc>
      </w:tr>
    </w:tbl>
    <w:p w14:paraId="3FA1D2F8" w14:textId="77777777" w:rsidR="00CC2FB3" w:rsidRDefault="00CC2FB3" w:rsidP="00A851DA">
      <w:pPr>
        <w:rPr>
          <w:b/>
          <w:lang w:val="en-US"/>
        </w:rPr>
      </w:pPr>
    </w:p>
    <w:p w14:paraId="3E273834" w14:textId="77777777" w:rsidR="00443E6F" w:rsidRDefault="00527C11" w:rsidP="00A851DA">
      <w:pPr>
        <w:rPr>
          <w:b/>
          <w:sz w:val="28"/>
          <w:lang w:val="en-US"/>
        </w:rPr>
      </w:pPr>
      <w:r w:rsidRPr="00443E6F">
        <w:rPr>
          <w:b/>
          <w:sz w:val="28"/>
          <w:lang w:val="en-US"/>
        </w:rPr>
        <w:t>Marking Criteria:</w:t>
      </w:r>
    </w:p>
    <w:p w14:paraId="01A4010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C73C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091CCC4" w14:textId="77777777" w:rsidTr="00CC2FB3">
        <w:tc>
          <w:tcPr>
            <w:tcW w:w="9242" w:type="dxa"/>
          </w:tcPr>
          <w:p w14:paraId="2A19B95A" w14:textId="77777777" w:rsidR="00856FC9" w:rsidRPr="00BB6CE9" w:rsidRDefault="00856FC9" w:rsidP="00856FC9">
            <w:pPr>
              <w:jc w:val="center"/>
              <w:rPr>
                <w:rFonts w:asciiTheme="majorHAnsi" w:hAnsiTheme="majorHAnsi"/>
                <w:sz w:val="32"/>
                <w:szCs w:val="32"/>
                <w:u w:val="single"/>
              </w:rPr>
            </w:pPr>
            <w:r>
              <w:rPr>
                <w:rFonts w:asciiTheme="majorHAnsi" w:hAnsiTheme="majorHAnsi"/>
                <w:sz w:val="32"/>
                <w:szCs w:val="32"/>
                <w:u w:val="single"/>
              </w:rPr>
              <w:t>Environmental Policy</w:t>
            </w:r>
          </w:p>
          <w:p w14:paraId="37E86DCA" w14:textId="77777777" w:rsidR="00856FC9" w:rsidRDefault="00856FC9" w:rsidP="00856FC9">
            <w:pPr>
              <w:jc w:val="center"/>
              <w:rPr>
                <w:rFonts w:asciiTheme="majorHAnsi" w:hAnsiTheme="majorHAnsi"/>
              </w:rPr>
            </w:pPr>
            <w:r>
              <w:rPr>
                <w:rFonts w:asciiTheme="majorHAnsi" w:hAnsiTheme="majorHAnsi"/>
              </w:rPr>
              <w:t>By Lauren Stewart</w:t>
            </w:r>
          </w:p>
          <w:p w14:paraId="6AC8ABC8" w14:textId="77777777" w:rsidR="00856FC9" w:rsidRPr="00D50926" w:rsidRDefault="00856FC9" w:rsidP="00856FC9">
            <w:pPr>
              <w:rPr>
                <w:rFonts w:asciiTheme="majorHAnsi" w:hAnsiTheme="majorHAnsi"/>
              </w:rPr>
            </w:pPr>
          </w:p>
          <w:p w14:paraId="2F7309D9" w14:textId="77777777" w:rsidR="00856FC9" w:rsidRPr="00D50926" w:rsidRDefault="00856FC9" w:rsidP="00856FC9">
            <w:pPr>
              <w:pStyle w:val="ListParagraph"/>
              <w:numPr>
                <w:ilvl w:val="0"/>
                <w:numId w:val="3"/>
              </w:numPr>
              <w:rPr>
                <w:rFonts w:asciiTheme="majorHAnsi" w:hAnsiTheme="majorHAnsi"/>
                <w:color w:val="000000" w:themeColor="text1"/>
                <w:sz w:val="28"/>
                <w:szCs w:val="28"/>
                <w:u w:val="single"/>
              </w:rPr>
            </w:pPr>
            <w:r w:rsidRPr="00D50926">
              <w:rPr>
                <w:rFonts w:asciiTheme="majorHAnsi" w:hAnsiTheme="majorHAnsi"/>
                <w:color w:val="000000" w:themeColor="text1"/>
                <w:sz w:val="28"/>
                <w:szCs w:val="28"/>
                <w:u w:val="single"/>
              </w:rPr>
              <w:t xml:space="preserve">What </w:t>
            </w:r>
            <w:r>
              <w:rPr>
                <w:rFonts w:asciiTheme="majorHAnsi" w:hAnsiTheme="majorHAnsi"/>
                <w:color w:val="000000" w:themeColor="text1"/>
                <w:sz w:val="28"/>
                <w:szCs w:val="28"/>
                <w:u w:val="single"/>
              </w:rPr>
              <w:t>are the various benefits of environmental policy?</w:t>
            </w:r>
          </w:p>
          <w:p w14:paraId="6B4D9CC6" w14:textId="77777777" w:rsidR="00856FC9" w:rsidRDefault="00856FC9" w:rsidP="00856FC9">
            <w:pPr>
              <w:rPr>
                <w:rFonts w:asciiTheme="majorHAnsi" w:hAnsiTheme="majorHAnsi"/>
                <w:color w:val="000000" w:themeColor="text1"/>
              </w:rPr>
            </w:pPr>
          </w:p>
          <w:p w14:paraId="1B845B0F" w14:textId="77777777" w:rsidR="00856FC9" w:rsidRDefault="00856FC9" w:rsidP="00856FC9">
            <w:pPr>
              <w:rPr>
                <w:rFonts w:asciiTheme="majorHAnsi" w:hAnsiTheme="majorHAnsi"/>
                <w:color w:val="000000" w:themeColor="text1"/>
              </w:rPr>
            </w:pPr>
            <w:r>
              <w:rPr>
                <w:rFonts w:asciiTheme="majorHAnsi" w:hAnsiTheme="majorHAnsi"/>
                <w:color w:val="000000" w:themeColor="text1"/>
              </w:rPr>
              <w:t>The various benefits of an environmental policy are: helping you to stay within the law, improving information for employees about their environmental roles and responsibilities, improving cost control, reducing incidents that result in liability, conserving raw materials and energy, improving your monitoring of environmental impacts and improving the efficiency of you processes. However, the benefits are not limited to the internal operations. You can advance in positive relations with external stakeholders (for example customers, suppliers, investors, regulators, insurers and the local community) by demonstrating a commitment to environmental management. This could then lead to an advantage in finances and an improved corporate image. It is crucial to consider that these benefits are unlikely to be accomplished if there is an environmental policy in place. By setting up an environmental management system, you will be required carry out a plan deliver your policy in a systematic, strategic manner. If you choose not to set up a formal environmental management system, it is a good idea to implement some of the steps to make sure your policy is efficient.</w:t>
            </w:r>
          </w:p>
          <w:p w14:paraId="3FA5FD21" w14:textId="77777777" w:rsidR="00856FC9" w:rsidRPr="00156F98" w:rsidRDefault="00856FC9" w:rsidP="00856FC9">
            <w:pPr>
              <w:rPr>
                <w:rFonts w:asciiTheme="majorHAnsi" w:hAnsiTheme="majorHAnsi"/>
                <w:color w:val="000000" w:themeColor="text1"/>
              </w:rPr>
            </w:pPr>
          </w:p>
          <w:p w14:paraId="5DECBB0B" w14:textId="77777777" w:rsidR="00856FC9" w:rsidRDefault="00856FC9" w:rsidP="00856FC9">
            <w:pPr>
              <w:pStyle w:val="ListParagraph"/>
              <w:numPr>
                <w:ilvl w:val="0"/>
                <w:numId w:val="3"/>
              </w:numPr>
              <w:rPr>
                <w:rFonts w:asciiTheme="majorHAnsi" w:hAnsiTheme="majorHAnsi"/>
                <w:color w:val="000000" w:themeColor="text1"/>
                <w:sz w:val="28"/>
                <w:szCs w:val="28"/>
                <w:u w:val="single"/>
              </w:rPr>
            </w:pPr>
            <w:r>
              <w:rPr>
                <w:rFonts w:asciiTheme="majorHAnsi" w:hAnsiTheme="majorHAnsi"/>
                <w:color w:val="000000" w:themeColor="text1"/>
                <w:sz w:val="28"/>
                <w:szCs w:val="28"/>
                <w:u w:val="single"/>
              </w:rPr>
              <w:t>Explain how a range of internal and external interested parties may influence the content of an environmental policy.</w:t>
            </w:r>
          </w:p>
          <w:p w14:paraId="5DD08FF4" w14:textId="77777777" w:rsidR="00856FC9" w:rsidRDefault="00856FC9" w:rsidP="00856FC9">
            <w:pPr>
              <w:rPr>
                <w:rFonts w:asciiTheme="majorHAnsi" w:hAnsiTheme="majorHAnsi"/>
                <w:color w:val="000000" w:themeColor="text1"/>
              </w:rPr>
            </w:pPr>
          </w:p>
          <w:p w14:paraId="252F6041" w14:textId="77777777" w:rsidR="00856FC9" w:rsidRDefault="00856FC9" w:rsidP="00856FC9">
            <w:pPr>
              <w:rPr>
                <w:rFonts w:asciiTheme="majorHAnsi" w:hAnsiTheme="majorHAnsi"/>
                <w:color w:val="000000" w:themeColor="text1"/>
              </w:rPr>
            </w:pPr>
            <w:r>
              <w:rPr>
                <w:rFonts w:asciiTheme="majorHAnsi" w:hAnsiTheme="majorHAnsi"/>
                <w:color w:val="000000" w:themeColor="text1"/>
              </w:rPr>
              <w:t xml:space="preserve">An environmental policy is an essential document as it acts as the operator for the </w:t>
            </w:r>
            <w:proofErr w:type="spellStart"/>
            <w:r>
              <w:rPr>
                <w:rFonts w:asciiTheme="majorHAnsi" w:hAnsiTheme="majorHAnsi"/>
                <w:color w:val="000000" w:themeColor="text1"/>
              </w:rPr>
              <w:t>organisation</w:t>
            </w:r>
            <w:proofErr w:type="spellEnd"/>
            <w:r>
              <w:rPr>
                <w:rFonts w:asciiTheme="majorHAnsi" w:hAnsiTheme="majorHAnsi"/>
                <w:color w:val="000000" w:themeColor="text1"/>
              </w:rPr>
              <w:t xml:space="preserve">, providing direction and demonstrating goals and commitments. The highest members I management should ensure that the policy is appropriate and fitting, compatible with strategic direction and not an indistinctive statement that could apply to any business. The policy should maintain a clear direction so that significant objectives can be set to align with it. Illustrating a more extensive environmental view, the new standard concentrates on </w:t>
            </w:r>
            <w:r>
              <w:rPr>
                <w:rFonts w:asciiTheme="majorHAnsi" w:hAnsiTheme="majorHAnsi"/>
                <w:color w:val="000000" w:themeColor="text1"/>
              </w:rPr>
              <w:lastRenderedPageBreak/>
              <w:t>the commitment to “protection of the environment”, rather than “prevention of pollution” in the 2004-edition, meaning it is more in line with the present and future environmental challenges. Environmental policies must be disclosed to all employees with an understanding of the part they have in the development. The policy must also be documented and available externally.</w:t>
            </w:r>
          </w:p>
          <w:p w14:paraId="258C6493" w14:textId="77777777" w:rsidR="00856FC9" w:rsidRDefault="00856FC9" w:rsidP="00856FC9">
            <w:pPr>
              <w:rPr>
                <w:rFonts w:asciiTheme="majorHAnsi" w:hAnsiTheme="majorHAnsi"/>
                <w:color w:val="000000" w:themeColor="text1"/>
              </w:rPr>
            </w:pPr>
          </w:p>
          <w:p w14:paraId="15FB0F68" w14:textId="77777777" w:rsidR="00856FC9" w:rsidRDefault="00856FC9" w:rsidP="00856FC9">
            <w:pPr>
              <w:rPr>
                <w:rFonts w:asciiTheme="majorHAnsi" w:hAnsiTheme="majorHAnsi"/>
                <w:color w:val="000000" w:themeColor="text1"/>
              </w:rPr>
            </w:pPr>
            <w:r>
              <w:rPr>
                <w:rFonts w:asciiTheme="majorHAnsi" w:hAnsiTheme="majorHAnsi"/>
                <w:color w:val="000000" w:themeColor="text1"/>
              </w:rPr>
              <w:t xml:space="preserve">The policy may be developed my top management, who can make the important decisions on what the </w:t>
            </w:r>
            <w:proofErr w:type="spellStart"/>
            <w:r>
              <w:rPr>
                <w:rFonts w:asciiTheme="majorHAnsi" w:hAnsiTheme="majorHAnsi"/>
                <w:color w:val="000000" w:themeColor="text1"/>
              </w:rPr>
              <w:t>organisations</w:t>
            </w:r>
            <w:proofErr w:type="spellEnd"/>
            <w:r>
              <w:rPr>
                <w:rFonts w:asciiTheme="majorHAnsi" w:hAnsiTheme="majorHAnsi"/>
                <w:color w:val="000000" w:themeColor="text1"/>
              </w:rPr>
              <w:t xml:space="preserve"> goals are within the environmental policy. For example, reducing the use of natural resources, increasing the use of renewable energy or measuring the amount of greenhouse gas emissions it contributes. The standard required the policy to make three commitments, these commitments are: prevention of pollution, continual improvement and compliance with all relevant legal requirements and other requirements that the </w:t>
            </w:r>
            <w:proofErr w:type="spellStart"/>
            <w:r>
              <w:rPr>
                <w:rFonts w:asciiTheme="majorHAnsi" w:hAnsiTheme="majorHAnsi"/>
                <w:color w:val="000000" w:themeColor="text1"/>
              </w:rPr>
              <w:t>organisation</w:t>
            </w:r>
            <w:proofErr w:type="spellEnd"/>
            <w:r>
              <w:rPr>
                <w:rFonts w:asciiTheme="majorHAnsi" w:hAnsiTheme="majorHAnsi"/>
                <w:color w:val="000000" w:themeColor="text1"/>
              </w:rPr>
              <w:t xml:space="preserve"> subscribes, relating to its environmental aspects.</w:t>
            </w:r>
          </w:p>
          <w:p w14:paraId="5B8ABE81" w14:textId="77777777" w:rsidR="00856FC9" w:rsidRDefault="00856FC9" w:rsidP="00856FC9">
            <w:pPr>
              <w:rPr>
                <w:rFonts w:asciiTheme="majorHAnsi" w:hAnsiTheme="majorHAnsi"/>
                <w:color w:val="000000" w:themeColor="text1"/>
              </w:rPr>
            </w:pPr>
          </w:p>
          <w:p w14:paraId="74BB3DC4" w14:textId="77777777" w:rsidR="00856FC9" w:rsidRDefault="00856FC9" w:rsidP="00856FC9">
            <w:pPr>
              <w:rPr>
                <w:rFonts w:asciiTheme="majorHAnsi" w:hAnsiTheme="majorHAnsi"/>
                <w:color w:val="000000" w:themeColor="text1"/>
              </w:rPr>
            </w:pPr>
            <w:r>
              <w:rPr>
                <w:rFonts w:asciiTheme="majorHAnsi" w:hAnsiTheme="majorHAnsi"/>
                <w:color w:val="000000" w:themeColor="text1"/>
              </w:rPr>
              <w:t xml:space="preserve">The policy requires the </w:t>
            </w:r>
            <w:proofErr w:type="spellStart"/>
            <w:r>
              <w:rPr>
                <w:rFonts w:asciiTheme="majorHAnsi" w:hAnsiTheme="majorHAnsi"/>
                <w:color w:val="000000" w:themeColor="text1"/>
              </w:rPr>
              <w:t>organisation</w:t>
            </w:r>
            <w:proofErr w:type="spellEnd"/>
            <w:r>
              <w:rPr>
                <w:rFonts w:asciiTheme="majorHAnsi" w:hAnsiTheme="majorHAnsi"/>
                <w:color w:val="000000" w:themeColor="text1"/>
              </w:rPr>
              <w:t xml:space="preserve"> to indicate the need and expectations of internal and external interested parties. These parties could include: employees, shareholders, suppliers, contractors, </w:t>
            </w:r>
            <w:proofErr w:type="spellStart"/>
            <w:r>
              <w:rPr>
                <w:rFonts w:asciiTheme="majorHAnsi" w:hAnsiTheme="majorHAnsi"/>
                <w:color w:val="000000" w:themeColor="text1"/>
              </w:rPr>
              <w:t>neighbours</w:t>
            </w:r>
            <w:proofErr w:type="spellEnd"/>
            <w:r>
              <w:rPr>
                <w:rFonts w:asciiTheme="majorHAnsi" w:hAnsiTheme="majorHAnsi"/>
                <w:color w:val="000000" w:themeColor="text1"/>
              </w:rPr>
              <w:t xml:space="preserve">, regulators, clients/customers, parent </w:t>
            </w:r>
            <w:proofErr w:type="spellStart"/>
            <w:r>
              <w:rPr>
                <w:rFonts w:asciiTheme="majorHAnsi" w:hAnsiTheme="majorHAnsi"/>
                <w:color w:val="000000" w:themeColor="text1"/>
              </w:rPr>
              <w:t>organisations</w:t>
            </w:r>
            <w:proofErr w:type="spellEnd"/>
            <w:r>
              <w:rPr>
                <w:rFonts w:asciiTheme="majorHAnsi" w:hAnsiTheme="majorHAnsi"/>
                <w:color w:val="000000" w:themeColor="text1"/>
              </w:rPr>
              <w:t xml:space="preserve"> or/and non-governmental </w:t>
            </w:r>
            <w:proofErr w:type="spellStart"/>
            <w:r>
              <w:rPr>
                <w:rFonts w:asciiTheme="majorHAnsi" w:hAnsiTheme="majorHAnsi"/>
                <w:color w:val="000000" w:themeColor="text1"/>
              </w:rPr>
              <w:t>organisations</w:t>
            </w:r>
            <w:proofErr w:type="spellEnd"/>
            <w:r>
              <w:rPr>
                <w:rFonts w:asciiTheme="majorHAnsi" w:hAnsiTheme="majorHAnsi"/>
                <w:color w:val="000000" w:themeColor="text1"/>
              </w:rPr>
              <w:t xml:space="preserve">. </w:t>
            </w:r>
          </w:p>
          <w:p w14:paraId="4E3D7F6A" w14:textId="77777777" w:rsidR="00856FC9" w:rsidRPr="00D50926" w:rsidRDefault="00856FC9" w:rsidP="00856FC9">
            <w:pPr>
              <w:rPr>
                <w:rFonts w:asciiTheme="majorHAnsi" w:hAnsiTheme="majorHAnsi"/>
                <w:color w:val="000000" w:themeColor="text1"/>
              </w:rPr>
            </w:pPr>
          </w:p>
          <w:p w14:paraId="284DDF0D" w14:textId="77777777" w:rsidR="00856FC9" w:rsidRDefault="00856FC9" w:rsidP="00856FC9">
            <w:pPr>
              <w:pStyle w:val="ListParagraph"/>
              <w:numPr>
                <w:ilvl w:val="0"/>
                <w:numId w:val="3"/>
              </w:numPr>
              <w:rPr>
                <w:rFonts w:asciiTheme="majorHAnsi" w:hAnsiTheme="majorHAnsi"/>
                <w:sz w:val="28"/>
                <w:szCs w:val="28"/>
                <w:u w:val="single"/>
              </w:rPr>
            </w:pPr>
            <w:r>
              <w:rPr>
                <w:rFonts w:asciiTheme="majorHAnsi" w:hAnsiTheme="majorHAnsi"/>
                <w:sz w:val="28"/>
                <w:szCs w:val="28"/>
                <w:u w:val="single"/>
              </w:rPr>
              <w:t>Identify the key considerations that should be taken into account when developing an environmental policy.</w:t>
            </w:r>
          </w:p>
          <w:p w14:paraId="4E72AB85" w14:textId="77777777" w:rsidR="00856FC9" w:rsidRPr="00532F66" w:rsidRDefault="00856FC9" w:rsidP="00856FC9">
            <w:pPr>
              <w:rPr>
                <w:rFonts w:asciiTheme="majorHAnsi" w:hAnsiTheme="majorHAnsi"/>
                <w:u w:val="single"/>
              </w:rPr>
            </w:pPr>
          </w:p>
          <w:p w14:paraId="202AF731" w14:textId="77777777" w:rsidR="00856FC9" w:rsidRPr="00532F66" w:rsidRDefault="00856FC9" w:rsidP="00856FC9">
            <w:pPr>
              <w:rPr>
                <w:rFonts w:asciiTheme="majorHAnsi" w:hAnsiTheme="majorHAnsi"/>
              </w:rPr>
            </w:pPr>
            <w:r w:rsidRPr="00532F66">
              <w:rPr>
                <w:rFonts w:asciiTheme="majorHAnsi" w:hAnsiTheme="majorHAnsi"/>
              </w:rPr>
              <w:t xml:space="preserve">The basic rules to follow when developing an environmental policy are to keep the statement short, easy to read and understand. The statement must also be realistic, achievable, attainable and relevant to the company’s activities and </w:t>
            </w:r>
            <w:proofErr w:type="spellStart"/>
            <w:r w:rsidRPr="00532F66">
              <w:rPr>
                <w:rFonts w:asciiTheme="majorHAnsi" w:hAnsiTheme="majorHAnsi"/>
              </w:rPr>
              <w:t>practises</w:t>
            </w:r>
            <w:proofErr w:type="spellEnd"/>
            <w:r w:rsidRPr="00532F66">
              <w:rPr>
                <w:rFonts w:asciiTheme="majorHAnsi" w:hAnsiTheme="majorHAnsi"/>
              </w:rPr>
              <w:t>. Finally, it must express a commitment to making the policy work.</w:t>
            </w:r>
          </w:p>
          <w:p w14:paraId="2B59DF87" w14:textId="77777777" w:rsidR="00856FC9" w:rsidRDefault="00856FC9" w:rsidP="00856FC9">
            <w:pPr>
              <w:rPr>
                <w:rFonts w:asciiTheme="majorHAnsi" w:hAnsiTheme="majorHAnsi"/>
              </w:rPr>
            </w:pPr>
          </w:p>
          <w:p w14:paraId="0883BA61" w14:textId="67A58993" w:rsidR="00856FC9" w:rsidRPr="00530FDB" w:rsidRDefault="00856FC9" w:rsidP="00856FC9">
            <w:pPr>
              <w:rPr>
                <w:rFonts w:asciiTheme="majorHAnsi" w:hAnsiTheme="majorHAnsi"/>
              </w:rPr>
            </w:pPr>
            <w:r>
              <w:rPr>
                <w:rFonts w:asciiTheme="majorHAnsi" w:hAnsiTheme="majorHAnsi"/>
              </w:rPr>
              <w:t xml:space="preserve">Key success factors for policy makers include; conduction of independent researches where there are information gaps, conduction of issues from stakeholder dialogues, identification of important questions on behalf of the </w:t>
            </w:r>
            <w:proofErr w:type="spellStart"/>
            <w:r>
              <w:rPr>
                <w:rFonts w:asciiTheme="majorHAnsi" w:hAnsiTheme="majorHAnsi"/>
              </w:rPr>
              <w:t>organisation</w:t>
            </w:r>
            <w:proofErr w:type="spellEnd"/>
            <w:r>
              <w:rPr>
                <w:rFonts w:asciiTheme="majorHAnsi" w:hAnsiTheme="majorHAnsi"/>
              </w:rPr>
              <w:t>, understanding of uncertainty surrounding particular issues, investing in relationships to stay up to date with upcoming policy discussions and decisions, sharing expertise to help with understanding of any issues that may arise, understanding of timelines for policy development and contribution, early on in the process, consideration to whether the issue is an end and/or means to an end, consideration of the importance of monitoring and enforcement, consideration to the policy bundle, understanding the target audience and finally, ensuring the policy is within context.</w:t>
            </w:r>
          </w:p>
        </w:tc>
      </w:tr>
    </w:tbl>
    <w:p w14:paraId="3469578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4F346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19A17E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93D3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FC64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90B6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4AE8FA69" w14:textId="77777777" w:rsidTr="00405895">
        <w:tc>
          <w:tcPr>
            <w:tcW w:w="2310" w:type="dxa"/>
            <w:shd w:val="clear" w:color="auto" w:fill="D9D9D9" w:themeFill="background1" w:themeFillShade="D9"/>
          </w:tcPr>
          <w:p w14:paraId="1D57D6C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D727AC" w14:textId="77777777" w:rsidR="00405895" w:rsidRPr="00B0415E" w:rsidRDefault="00530FDB" w:rsidP="00A851DA">
            <w:pPr>
              <w:rPr>
                <w:rFonts w:cs="Bliss-Regular"/>
                <w:color w:val="000000"/>
              </w:rPr>
            </w:pPr>
            <w:r>
              <w:rPr>
                <w:rFonts w:cs="Bliss-Regular"/>
                <w:color w:val="000000"/>
              </w:rPr>
              <w:t>L Stewart</w:t>
            </w:r>
          </w:p>
        </w:tc>
        <w:tc>
          <w:tcPr>
            <w:tcW w:w="1276" w:type="dxa"/>
            <w:shd w:val="clear" w:color="auto" w:fill="D9D9D9" w:themeFill="background1" w:themeFillShade="D9"/>
          </w:tcPr>
          <w:p w14:paraId="5219BE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B7168D" w14:textId="77777777" w:rsidR="00405895" w:rsidRPr="00B0415E" w:rsidRDefault="00530FDB" w:rsidP="00A851DA">
            <w:pPr>
              <w:rPr>
                <w:rFonts w:cs="Bliss-Regular"/>
                <w:color w:val="000000"/>
              </w:rPr>
            </w:pPr>
            <w:r>
              <w:rPr>
                <w:rFonts w:cs="Bliss-Regular"/>
                <w:color w:val="000000"/>
              </w:rPr>
              <w:t>17/01/19</w:t>
            </w:r>
          </w:p>
        </w:tc>
      </w:tr>
    </w:tbl>
    <w:p w14:paraId="0A845C79" w14:textId="77777777" w:rsidR="00A851DA" w:rsidRPr="00B0415E" w:rsidRDefault="00A851DA" w:rsidP="00A851DA">
      <w:pPr>
        <w:rPr>
          <w:rFonts w:cs="Bliss-Regular"/>
          <w:color w:val="000000"/>
          <w:lang w:val="en-US"/>
        </w:rPr>
      </w:pPr>
    </w:p>
    <w:p w14:paraId="12DC3C9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B5DD97" w14:textId="77777777" w:rsidTr="00B0415E">
        <w:trPr>
          <w:trHeight w:val="249"/>
        </w:trPr>
        <w:tc>
          <w:tcPr>
            <w:tcW w:w="4621" w:type="dxa"/>
            <w:shd w:val="clear" w:color="auto" w:fill="D9D9D9" w:themeFill="background1" w:themeFillShade="D9"/>
          </w:tcPr>
          <w:p w14:paraId="260C3967" w14:textId="77777777" w:rsidR="00503D7E" w:rsidRPr="00B0415E" w:rsidRDefault="00503D7E" w:rsidP="00503D7E">
            <w:pPr>
              <w:rPr>
                <w:b/>
                <w:color w:val="002060"/>
              </w:rPr>
            </w:pPr>
            <w:r w:rsidRPr="00B0415E">
              <w:rPr>
                <w:b/>
                <w:color w:val="002060"/>
              </w:rPr>
              <w:t>Total Marks</w:t>
            </w:r>
          </w:p>
        </w:tc>
        <w:tc>
          <w:tcPr>
            <w:tcW w:w="4621" w:type="dxa"/>
          </w:tcPr>
          <w:p w14:paraId="3E02FD22" w14:textId="77777777" w:rsidR="00503D7E" w:rsidRPr="00B0415E" w:rsidRDefault="00503D7E" w:rsidP="00503D7E">
            <w:pPr>
              <w:rPr>
                <w:rFonts w:cs="Times New Roman"/>
                <w:szCs w:val="32"/>
              </w:rPr>
            </w:pPr>
          </w:p>
        </w:tc>
      </w:tr>
      <w:tr w:rsidR="00503D7E" w:rsidRPr="00B0415E" w14:paraId="2AE5D20C" w14:textId="77777777" w:rsidTr="00B0415E">
        <w:tc>
          <w:tcPr>
            <w:tcW w:w="4621" w:type="dxa"/>
            <w:shd w:val="clear" w:color="auto" w:fill="D9D9D9" w:themeFill="background1" w:themeFillShade="D9"/>
          </w:tcPr>
          <w:p w14:paraId="4302B456" w14:textId="77777777" w:rsidR="00503D7E" w:rsidRPr="00B0415E" w:rsidRDefault="00503D7E" w:rsidP="00503D7E">
            <w:pPr>
              <w:rPr>
                <w:b/>
                <w:color w:val="002060"/>
              </w:rPr>
            </w:pPr>
            <w:r w:rsidRPr="00B0415E">
              <w:rPr>
                <w:b/>
                <w:color w:val="002060"/>
              </w:rPr>
              <w:t>Marks Obtained</w:t>
            </w:r>
          </w:p>
        </w:tc>
        <w:tc>
          <w:tcPr>
            <w:tcW w:w="4621" w:type="dxa"/>
          </w:tcPr>
          <w:p w14:paraId="59CD0FD9" w14:textId="77777777" w:rsidR="00503D7E" w:rsidRPr="00B0415E" w:rsidRDefault="00503D7E" w:rsidP="00503D7E">
            <w:pPr>
              <w:rPr>
                <w:rFonts w:cs="Times New Roman"/>
                <w:szCs w:val="32"/>
              </w:rPr>
            </w:pPr>
          </w:p>
        </w:tc>
      </w:tr>
      <w:tr w:rsidR="00503D7E" w:rsidRPr="00B0415E" w14:paraId="29BA44FA" w14:textId="77777777" w:rsidTr="00B0415E">
        <w:tc>
          <w:tcPr>
            <w:tcW w:w="4621" w:type="dxa"/>
            <w:shd w:val="clear" w:color="auto" w:fill="D9D9D9" w:themeFill="background1" w:themeFillShade="D9"/>
          </w:tcPr>
          <w:p w14:paraId="4DB7E482" w14:textId="77777777" w:rsidR="00503D7E" w:rsidRPr="00B0415E" w:rsidRDefault="00B0415E" w:rsidP="00503D7E">
            <w:pPr>
              <w:rPr>
                <w:b/>
                <w:color w:val="002060"/>
              </w:rPr>
            </w:pPr>
            <w:r w:rsidRPr="00B0415E">
              <w:rPr>
                <w:b/>
                <w:color w:val="002060"/>
              </w:rPr>
              <w:t>Percentage / Grade</w:t>
            </w:r>
          </w:p>
        </w:tc>
        <w:tc>
          <w:tcPr>
            <w:tcW w:w="4621" w:type="dxa"/>
          </w:tcPr>
          <w:p w14:paraId="22C63A60" w14:textId="77777777" w:rsidR="00503D7E" w:rsidRPr="00B0415E" w:rsidRDefault="00503D7E" w:rsidP="00503D7E">
            <w:pPr>
              <w:rPr>
                <w:rFonts w:cs="Times New Roman"/>
                <w:szCs w:val="32"/>
              </w:rPr>
            </w:pPr>
          </w:p>
        </w:tc>
      </w:tr>
    </w:tbl>
    <w:p w14:paraId="69F4E4F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D0B5E" w14:textId="77777777" w:rsidR="00B71B6A" w:rsidRDefault="00B71B6A" w:rsidP="00CB4D0A">
      <w:pPr>
        <w:spacing w:after="0" w:line="240" w:lineRule="auto"/>
      </w:pPr>
      <w:r>
        <w:separator/>
      </w:r>
    </w:p>
  </w:endnote>
  <w:endnote w:type="continuationSeparator" w:id="0">
    <w:p w14:paraId="0600E7F6" w14:textId="77777777" w:rsidR="00B71B6A" w:rsidRDefault="00B71B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F18ED" w14:textId="77777777" w:rsidR="00B71B6A" w:rsidRDefault="00B71B6A" w:rsidP="00CB4D0A">
      <w:pPr>
        <w:spacing w:after="0" w:line="240" w:lineRule="auto"/>
      </w:pPr>
      <w:r>
        <w:separator/>
      </w:r>
    </w:p>
  </w:footnote>
  <w:footnote w:type="continuationSeparator" w:id="0">
    <w:p w14:paraId="70E81D5F" w14:textId="77777777" w:rsidR="00B71B6A" w:rsidRDefault="00B71B6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969EE"/>
    <w:multiLevelType w:val="hybridMultilevel"/>
    <w:tmpl w:val="FE34A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B758C7"/>
    <w:multiLevelType w:val="hybridMultilevel"/>
    <w:tmpl w:val="57560F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FDB"/>
    <w:rsid w:val="00535F31"/>
    <w:rsid w:val="00574D64"/>
    <w:rsid w:val="00591365"/>
    <w:rsid w:val="005B31E4"/>
    <w:rsid w:val="006034F6"/>
    <w:rsid w:val="00607874"/>
    <w:rsid w:val="00607E77"/>
    <w:rsid w:val="00617BB3"/>
    <w:rsid w:val="00627A7D"/>
    <w:rsid w:val="00645CDD"/>
    <w:rsid w:val="006823A7"/>
    <w:rsid w:val="00687EE8"/>
    <w:rsid w:val="0070347F"/>
    <w:rsid w:val="0070678E"/>
    <w:rsid w:val="00831C11"/>
    <w:rsid w:val="00856FC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1B6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940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3543F-99C4-BA4F-96C8-D62F8EE53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765</Words>
  <Characters>4365</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Lauren Stewart</cp:lastModifiedBy>
  <cp:revision>2</cp:revision>
  <dcterms:created xsi:type="dcterms:W3CDTF">2019-02-04T16:12:00Z</dcterms:created>
  <dcterms:modified xsi:type="dcterms:W3CDTF">2019-02-04T16:12:00Z</dcterms:modified>
</cp:coreProperties>
</file>