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7236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379B">
            <w:pPr>
              <w:pStyle w:val="Default"/>
              <w:rPr>
                <w:rFonts w:asciiTheme="minorHAnsi" w:hAnsiTheme="minorHAnsi"/>
              </w:rPr>
            </w:pPr>
            <w:r>
              <w:rPr>
                <w:rFonts w:asciiTheme="minorHAnsi" w:hAnsiTheme="minorHAnsi"/>
              </w:rPr>
              <w:t>Walter Philip Nyamori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44EEC">
            <w:pPr>
              <w:pStyle w:val="Default"/>
              <w:rPr>
                <w:rFonts w:asciiTheme="minorHAnsi" w:hAnsiTheme="minorHAnsi"/>
              </w:rPr>
            </w:pPr>
            <w:r>
              <w:rPr>
                <w:rFonts w:asciiTheme="minorHAnsi" w:hAnsiTheme="minorHAnsi"/>
              </w:rPr>
              <w:t>9046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425D">
            <w:pPr>
              <w:pStyle w:val="Default"/>
              <w:rPr>
                <w:rFonts w:asciiTheme="minorHAnsi" w:hAnsiTheme="minorHAnsi"/>
              </w:rPr>
            </w:pPr>
            <w:r>
              <w:rPr>
                <w:rFonts w:asciiTheme="minorHAnsi" w:hAnsiTheme="minorHAnsi"/>
              </w:rPr>
              <w:t>Diplo</w:t>
            </w:r>
            <w:bookmarkStart w:id="0" w:name="_GoBack"/>
            <w:bookmarkEnd w:id="0"/>
            <w:r>
              <w:rPr>
                <w:rFonts w:asciiTheme="minorHAnsi" w:hAnsiTheme="minorHAnsi"/>
              </w:rPr>
              <w:t>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392A">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Tr="00F0425D">
        <w:tc>
          <w:tcPr>
            <w:tcW w:w="9378" w:type="dxa"/>
          </w:tcPr>
          <w:p w:rsidR="0058392A" w:rsidRDefault="0058392A" w:rsidP="0058392A">
            <w:pPr>
              <w:spacing w:line="360" w:lineRule="auto"/>
              <w:rPr>
                <w:rFonts w:ascii="Arial" w:hAnsi="Arial" w:cs="Arial"/>
              </w:rPr>
            </w:pPr>
            <w:r>
              <w:rPr>
                <w:rFonts w:ascii="Arial" w:hAnsi="Arial" w:cs="Arial"/>
              </w:rPr>
              <w:t>Question 1</w:t>
            </w:r>
          </w:p>
          <w:p w:rsidR="0058392A" w:rsidRPr="00514F07" w:rsidRDefault="0058392A" w:rsidP="0058392A">
            <w:pPr>
              <w:spacing w:line="360" w:lineRule="auto"/>
              <w:jc w:val="both"/>
              <w:rPr>
                <w:rFonts w:ascii="Arial" w:hAnsi="Arial" w:cs="Arial"/>
                <w:sz w:val="2"/>
              </w:rPr>
            </w:pPr>
          </w:p>
          <w:p w:rsidR="0058392A" w:rsidRPr="00B350C0" w:rsidRDefault="0058392A" w:rsidP="0058392A">
            <w:pPr>
              <w:pStyle w:val="ListParagraph"/>
              <w:numPr>
                <w:ilvl w:val="0"/>
                <w:numId w:val="5"/>
              </w:numPr>
              <w:spacing w:after="160" w:line="360" w:lineRule="auto"/>
              <w:ind w:left="720"/>
              <w:jc w:val="both"/>
              <w:rPr>
                <w:rFonts w:ascii="Arial" w:hAnsi="Arial" w:cs="Arial"/>
                <w:color w:val="000000" w:themeColor="text1"/>
                <w:sz w:val="20"/>
                <w:szCs w:val="24"/>
              </w:rPr>
            </w:pPr>
            <w:r w:rsidRPr="009B6BC4">
              <w:rPr>
                <w:rFonts w:ascii="Arial" w:hAnsi="Arial" w:cs="Arial"/>
                <w:color w:val="000000" w:themeColor="text1"/>
                <w:sz w:val="24"/>
                <w:szCs w:val="24"/>
              </w:rPr>
              <w:t xml:space="preserve">Evidence in fraud can potentially come from a variety of sources, both financial and non-financial. </w:t>
            </w:r>
            <w:r w:rsidRPr="00B350C0">
              <w:rPr>
                <w:rFonts w:ascii="Arial" w:hAnsi="Arial" w:cs="Arial"/>
                <w:color w:val="000000" w:themeColor="text1"/>
                <w:sz w:val="24"/>
                <w:szCs w:val="24"/>
              </w:rPr>
              <w:t xml:space="preserve"> </w:t>
            </w:r>
            <w:r w:rsidRPr="004D1D76">
              <w:rPr>
                <w:rFonts w:ascii="Arial" w:hAnsi="Arial" w:cs="Arial"/>
                <w:color w:val="000000" w:themeColor="text1"/>
                <w:sz w:val="24"/>
                <w:szCs w:val="24"/>
              </w:rPr>
              <w:t>Although, the focus on fraud investigations tends to be m</w:t>
            </w:r>
            <w:r>
              <w:rPr>
                <w:rFonts w:ascii="Arial" w:hAnsi="Arial" w:cs="Arial"/>
                <w:color w:val="000000" w:themeColor="text1"/>
                <w:sz w:val="24"/>
                <w:szCs w:val="24"/>
              </w:rPr>
              <w:t xml:space="preserve">ostly </w:t>
            </w:r>
            <w:r w:rsidRPr="003E7CB3">
              <w:rPr>
                <w:rFonts w:ascii="Arial" w:hAnsi="Arial" w:cs="Arial"/>
                <w:color w:val="000000" w:themeColor="text1"/>
                <w:sz w:val="24"/>
                <w:szCs w:val="24"/>
              </w:rPr>
              <w:t>financial, it</w:t>
            </w:r>
            <w:r w:rsidRPr="00B350C0">
              <w:rPr>
                <w:rFonts w:ascii="Arial" w:hAnsi="Arial" w:cs="Arial"/>
                <w:color w:val="000000" w:themeColor="text1"/>
                <w:sz w:val="24"/>
                <w:szCs w:val="24"/>
              </w:rPr>
              <w:t xml:space="preserve"> is important that auditors and investigators consider the possibility of valuable </w:t>
            </w:r>
            <w:r>
              <w:rPr>
                <w:rFonts w:ascii="Arial" w:hAnsi="Arial" w:cs="Arial"/>
                <w:color w:val="000000" w:themeColor="text1"/>
                <w:sz w:val="24"/>
                <w:szCs w:val="24"/>
              </w:rPr>
              <w:t>non-financial evidence.</w:t>
            </w:r>
          </w:p>
          <w:p w:rsidR="0058392A" w:rsidRPr="00473AB0" w:rsidRDefault="0058392A" w:rsidP="0058392A">
            <w:pPr>
              <w:pStyle w:val="ListParagraph"/>
              <w:spacing w:line="360" w:lineRule="auto"/>
              <w:jc w:val="both"/>
              <w:rPr>
                <w:rFonts w:ascii="Arial" w:hAnsi="Arial" w:cs="Arial"/>
                <w:color w:val="000000" w:themeColor="text1"/>
                <w:sz w:val="10"/>
                <w:szCs w:val="24"/>
              </w:rPr>
            </w:pPr>
          </w:p>
          <w:p w:rsidR="0058392A" w:rsidRPr="00CD6459" w:rsidRDefault="0058392A" w:rsidP="0058392A">
            <w:pPr>
              <w:pStyle w:val="ListParagraph"/>
              <w:spacing w:line="360" w:lineRule="auto"/>
              <w:jc w:val="both"/>
              <w:rPr>
                <w:rFonts w:ascii="Arial" w:hAnsi="Arial" w:cs="Arial"/>
                <w:color w:val="000000" w:themeColor="text1"/>
                <w:sz w:val="20"/>
                <w:szCs w:val="24"/>
              </w:rPr>
            </w:pPr>
            <w:r>
              <w:rPr>
                <w:rFonts w:ascii="Arial" w:hAnsi="Arial" w:cs="Arial"/>
                <w:color w:val="000000" w:themeColor="text1"/>
                <w:sz w:val="24"/>
                <w:szCs w:val="24"/>
              </w:rPr>
              <w:t xml:space="preserve">Non-financial sources include interviews, document examination, handwriting analysis, and physiological aspects of the fraudster. The later refers to something the fraudster reveals in behaviors, physical expressions or communications that can be cues as to the veracity of the suspect’s statement about his or her involvement in the fraud in question. For example, guilty suspects may on occasions pretend to be angry, unlike innocent suspects who may be genuinely angry, and on occasions outraged, about being accused or suspected of a crime they are innocent.  </w:t>
            </w:r>
          </w:p>
          <w:p w:rsidR="0058392A" w:rsidRPr="007178D1" w:rsidRDefault="0058392A" w:rsidP="0058392A">
            <w:pPr>
              <w:pStyle w:val="ListParagraph"/>
              <w:spacing w:line="360" w:lineRule="auto"/>
              <w:jc w:val="both"/>
              <w:rPr>
                <w:rFonts w:ascii="Arial" w:hAnsi="Arial" w:cs="Arial"/>
                <w:color w:val="000000" w:themeColor="text1"/>
                <w:sz w:val="4"/>
                <w:szCs w:val="24"/>
              </w:rPr>
            </w:pPr>
          </w:p>
          <w:p w:rsidR="0058392A" w:rsidRPr="004004A6" w:rsidRDefault="0058392A" w:rsidP="0058392A">
            <w:pPr>
              <w:pStyle w:val="ListParagraph"/>
              <w:spacing w:line="360" w:lineRule="auto"/>
              <w:jc w:val="both"/>
              <w:rPr>
                <w:rFonts w:ascii="Arial" w:hAnsi="Arial" w:cs="Arial"/>
                <w:color w:val="000000" w:themeColor="text1"/>
                <w:sz w:val="6"/>
                <w:szCs w:val="24"/>
              </w:rPr>
            </w:pPr>
          </w:p>
          <w:p w:rsidR="0058392A" w:rsidRPr="00CD6459" w:rsidRDefault="0058392A" w:rsidP="0058392A">
            <w:pPr>
              <w:pStyle w:val="ListParagraph"/>
              <w:spacing w:line="360" w:lineRule="auto"/>
              <w:jc w:val="both"/>
              <w:rPr>
                <w:rFonts w:ascii="Arial" w:hAnsi="Arial" w:cs="Arial"/>
                <w:color w:val="000000" w:themeColor="text1"/>
                <w:sz w:val="20"/>
                <w:szCs w:val="24"/>
              </w:rPr>
            </w:pPr>
            <w:r>
              <w:rPr>
                <w:rFonts w:ascii="Arial" w:hAnsi="Arial" w:cs="Arial"/>
                <w:color w:val="000000" w:themeColor="text1"/>
                <w:sz w:val="24"/>
                <w:szCs w:val="24"/>
              </w:rPr>
              <w:t xml:space="preserve">In many instances, non-financial evidence holds the key to unlocking the fraud puzzle, but very often auditors and investigators overlook it. </w:t>
            </w:r>
          </w:p>
          <w:p w:rsidR="0058392A" w:rsidRPr="009A4DB2" w:rsidRDefault="0058392A" w:rsidP="0058392A">
            <w:pPr>
              <w:pStyle w:val="ListParagraph"/>
              <w:spacing w:line="360" w:lineRule="auto"/>
              <w:jc w:val="both"/>
              <w:rPr>
                <w:rFonts w:ascii="Arial" w:hAnsi="Arial" w:cs="Arial"/>
                <w:color w:val="000000" w:themeColor="text1"/>
                <w:sz w:val="20"/>
                <w:szCs w:val="24"/>
              </w:rPr>
            </w:pPr>
          </w:p>
          <w:p w:rsidR="0058392A" w:rsidRDefault="0058392A" w:rsidP="0058392A">
            <w:pPr>
              <w:pStyle w:val="ListParagraph"/>
              <w:numPr>
                <w:ilvl w:val="0"/>
                <w:numId w:val="5"/>
              </w:numPr>
              <w:spacing w:after="160" w:line="360" w:lineRule="auto"/>
              <w:ind w:left="720"/>
              <w:jc w:val="both"/>
              <w:rPr>
                <w:rFonts w:ascii="Arial" w:hAnsi="Arial" w:cs="Arial"/>
                <w:color w:val="000000" w:themeColor="text1"/>
                <w:sz w:val="24"/>
                <w:szCs w:val="24"/>
              </w:rPr>
            </w:pPr>
            <w:r w:rsidRPr="00195EDC">
              <w:rPr>
                <w:rFonts w:ascii="Arial" w:hAnsi="Arial" w:cs="Arial"/>
                <w:color w:val="000000" w:themeColor="text1"/>
                <w:sz w:val="24"/>
                <w:szCs w:val="24"/>
              </w:rPr>
              <w:lastRenderedPageBreak/>
              <w:t>A person’s gesture</w:t>
            </w:r>
            <w:r>
              <w:rPr>
                <w:rFonts w:ascii="Arial" w:hAnsi="Arial" w:cs="Arial"/>
                <w:color w:val="000000" w:themeColor="text1"/>
                <w:sz w:val="24"/>
                <w:szCs w:val="24"/>
              </w:rPr>
              <w:t xml:space="preserve"> and facial expressions are indicators of his or her emotions. Typically, people think faster than they speak. Often before we have even said anything, our body will have given away an answer. </w:t>
            </w:r>
          </w:p>
          <w:p w:rsidR="0058392A" w:rsidRPr="00473AB0" w:rsidRDefault="0058392A" w:rsidP="0058392A">
            <w:pPr>
              <w:pStyle w:val="ListParagraph"/>
              <w:spacing w:line="360" w:lineRule="auto"/>
              <w:jc w:val="both"/>
              <w:rPr>
                <w:rFonts w:ascii="Arial" w:hAnsi="Arial" w:cs="Arial"/>
                <w:color w:val="000000" w:themeColor="text1"/>
                <w:sz w:val="8"/>
                <w:szCs w:val="24"/>
              </w:rPr>
            </w:pPr>
          </w:p>
          <w:p w:rsidR="0058392A" w:rsidRPr="00CF15FE" w:rsidRDefault="0058392A" w:rsidP="0058392A">
            <w:pPr>
              <w:pStyle w:val="ListParagraph"/>
              <w:spacing w:line="360" w:lineRule="auto"/>
              <w:jc w:val="both"/>
              <w:rPr>
                <w:rFonts w:ascii="Arial" w:hAnsi="Arial" w:cs="Arial"/>
                <w:color w:val="000000" w:themeColor="text1"/>
                <w:sz w:val="2"/>
                <w:szCs w:val="24"/>
              </w:rPr>
            </w:pPr>
          </w:p>
          <w:p w:rsidR="0058392A" w:rsidRDefault="0058392A" w:rsidP="0058392A">
            <w:pPr>
              <w:pStyle w:val="ListParagraph"/>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During an investigation, paying attention to and recording body language is as important as listening to a person’s words. When a suspect is nervous or cagey to be completely honest, his words may not be enough for an investigator to piece together what really took place. </w:t>
            </w:r>
          </w:p>
          <w:p w:rsidR="0058392A" w:rsidRPr="00473AB0" w:rsidRDefault="0058392A" w:rsidP="0058392A">
            <w:pPr>
              <w:pStyle w:val="ListParagraph"/>
              <w:spacing w:line="360" w:lineRule="auto"/>
              <w:jc w:val="both"/>
              <w:rPr>
                <w:rFonts w:ascii="Arial" w:hAnsi="Arial" w:cs="Arial"/>
                <w:color w:val="000000" w:themeColor="text1"/>
                <w:sz w:val="12"/>
                <w:szCs w:val="24"/>
              </w:rPr>
            </w:pPr>
          </w:p>
          <w:p w:rsidR="0058392A" w:rsidRDefault="0058392A" w:rsidP="0058392A">
            <w:pPr>
              <w:pStyle w:val="ListParagraph"/>
              <w:spacing w:line="360" w:lineRule="auto"/>
              <w:jc w:val="both"/>
              <w:rPr>
                <w:rFonts w:ascii="Arial" w:hAnsi="Arial" w:cs="Arial"/>
                <w:color w:val="000000" w:themeColor="text1"/>
                <w:sz w:val="24"/>
                <w:szCs w:val="24"/>
              </w:rPr>
            </w:pPr>
            <w:r>
              <w:rPr>
                <w:rFonts w:ascii="Arial" w:hAnsi="Arial" w:cs="Arial"/>
                <w:color w:val="000000" w:themeColor="text1"/>
                <w:sz w:val="24"/>
                <w:szCs w:val="24"/>
              </w:rPr>
              <w:t>There are non-verbal cues that experts say often can identify if a person is deceptive. One of them is something that give them time to think of an answer, for example shifting in their seat. This gives a suspect ample time to come up with an answer that may not be truthful.</w:t>
            </w:r>
          </w:p>
          <w:p w:rsidR="0058392A" w:rsidRPr="00CF15FE" w:rsidRDefault="0058392A" w:rsidP="0058392A">
            <w:pPr>
              <w:pStyle w:val="ListParagraph"/>
              <w:spacing w:line="360" w:lineRule="auto"/>
              <w:jc w:val="both"/>
              <w:rPr>
                <w:rFonts w:ascii="Arial" w:hAnsi="Arial" w:cs="Arial"/>
                <w:color w:val="000000" w:themeColor="text1"/>
                <w:sz w:val="12"/>
                <w:szCs w:val="24"/>
              </w:rPr>
            </w:pPr>
          </w:p>
          <w:p w:rsidR="0058392A" w:rsidRPr="00D052A9" w:rsidRDefault="0058392A" w:rsidP="0058392A">
            <w:pPr>
              <w:pStyle w:val="ListParagraph"/>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Making note of the body language can help an investigator understand where deception may be occurring, and therefore know where to dig deeper for much needed evidence. However, body language cues are often inadmissible in court. </w:t>
            </w:r>
          </w:p>
          <w:p w:rsidR="0058392A" w:rsidRPr="00473AB0" w:rsidRDefault="0058392A" w:rsidP="0058392A">
            <w:pPr>
              <w:pStyle w:val="ListParagraph"/>
              <w:spacing w:line="360" w:lineRule="auto"/>
              <w:jc w:val="both"/>
              <w:rPr>
                <w:rFonts w:ascii="Arial" w:hAnsi="Arial" w:cs="Arial"/>
                <w:color w:val="000000" w:themeColor="text1"/>
                <w:sz w:val="14"/>
                <w:szCs w:val="24"/>
              </w:rPr>
            </w:pPr>
          </w:p>
          <w:p w:rsidR="0058392A" w:rsidRPr="00616A7B" w:rsidRDefault="0058392A" w:rsidP="0058392A">
            <w:pPr>
              <w:pStyle w:val="ListParagraph"/>
              <w:spacing w:line="360" w:lineRule="auto"/>
              <w:jc w:val="both"/>
              <w:rPr>
                <w:rFonts w:ascii="Arial" w:hAnsi="Arial" w:cs="Arial"/>
                <w:color w:val="000000" w:themeColor="text1"/>
                <w:sz w:val="2"/>
                <w:szCs w:val="24"/>
              </w:rPr>
            </w:pPr>
          </w:p>
          <w:p w:rsidR="0058392A" w:rsidRDefault="0058392A" w:rsidP="0058392A">
            <w:pPr>
              <w:pStyle w:val="ListParagraph"/>
              <w:numPr>
                <w:ilvl w:val="0"/>
                <w:numId w:val="5"/>
              </w:numPr>
              <w:spacing w:after="160" w:line="360" w:lineRule="auto"/>
              <w:ind w:left="720"/>
              <w:jc w:val="both"/>
              <w:rPr>
                <w:rFonts w:ascii="Arial" w:hAnsi="Arial" w:cs="Arial"/>
                <w:color w:val="000000" w:themeColor="text1"/>
                <w:sz w:val="24"/>
                <w:szCs w:val="24"/>
              </w:rPr>
            </w:pPr>
            <w:r w:rsidRPr="00802689">
              <w:rPr>
                <w:rFonts w:ascii="Arial" w:hAnsi="Arial" w:cs="Arial"/>
                <w:color w:val="000000" w:themeColor="text1"/>
                <w:sz w:val="24"/>
                <w:szCs w:val="24"/>
              </w:rPr>
              <w:t>Scientific Content</w:t>
            </w:r>
            <w:r>
              <w:rPr>
                <w:rFonts w:ascii="Arial" w:hAnsi="Arial" w:cs="Arial"/>
                <w:color w:val="000000" w:themeColor="text1"/>
                <w:sz w:val="24"/>
                <w:szCs w:val="24"/>
              </w:rPr>
              <w:t xml:space="preserve"> Analysis (SCAN) is aimed at detecting deception. Ideally, fraudsters tend to deceive indirectly rather than tell blatant lies.</w:t>
            </w:r>
          </w:p>
          <w:p w:rsidR="0058392A" w:rsidRPr="00446CEB" w:rsidRDefault="0058392A" w:rsidP="0058392A">
            <w:pPr>
              <w:pStyle w:val="ListParagraph"/>
              <w:spacing w:line="360" w:lineRule="auto"/>
              <w:jc w:val="both"/>
              <w:rPr>
                <w:rFonts w:ascii="Arial" w:hAnsi="Arial" w:cs="Arial"/>
                <w:color w:val="000000" w:themeColor="text1"/>
                <w:sz w:val="8"/>
                <w:szCs w:val="24"/>
              </w:rPr>
            </w:pPr>
          </w:p>
          <w:p w:rsidR="0058392A" w:rsidRDefault="0058392A" w:rsidP="0058392A">
            <w:pPr>
              <w:pStyle w:val="ListParagraph"/>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In order to avoid making damaging statements, deceitful people often use verbal trickery. For the tool therefore to be effective, an analyst needs unambiguous, truthful statement from the suspect. </w:t>
            </w:r>
          </w:p>
          <w:p w:rsidR="0058392A" w:rsidRPr="00473AB0" w:rsidRDefault="0058392A" w:rsidP="0058392A">
            <w:pPr>
              <w:pStyle w:val="ListParagraph"/>
              <w:spacing w:line="360" w:lineRule="auto"/>
              <w:jc w:val="both"/>
              <w:rPr>
                <w:rFonts w:ascii="Arial" w:hAnsi="Arial" w:cs="Arial"/>
                <w:color w:val="000000" w:themeColor="text1"/>
                <w:sz w:val="10"/>
                <w:szCs w:val="24"/>
              </w:rPr>
            </w:pPr>
          </w:p>
          <w:p w:rsidR="0058392A" w:rsidRDefault="0058392A" w:rsidP="0058392A">
            <w:pPr>
              <w:pStyle w:val="ListParagraph"/>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SCAN looks for a shift in pronouns and gaps in the narrative, which indicate deception. According to this technique, feigning ignorance, for example is often considered an attempt to conceal truthful facts. </w:t>
            </w:r>
          </w:p>
          <w:p w:rsidR="0058392A" w:rsidRPr="00473AB0" w:rsidRDefault="0058392A" w:rsidP="0058392A">
            <w:pPr>
              <w:pStyle w:val="ListParagraph"/>
              <w:spacing w:line="360" w:lineRule="auto"/>
              <w:jc w:val="both"/>
              <w:rPr>
                <w:rFonts w:ascii="Arial" w:hAnsi="Arial" w:cs="Arial"/>
                <w:color w:val="000000" w:themeColor="text1"/>
                <w:sz w:val="8"/>
                <w:szCs w:val="24"/>
              </w:rPr>
            </w:pPr>
          </w:p>
          <w:p w:rsidR="0058392A" w:rsidRDefault="0058392A" w:rsidP="0058392A">
            <w:pPr>
              <w:pStyle w:val="ListParagraph"/>
              <w:spacing w:line="360" w:lineRule="auto"/>
              <w:jc w:val="both"/>
              <w:rPr>
                <w:rFonts w:ascii="Arial" w:hAnsi="Arial" w:cs="Arial"/>
                <w:color w:val="000000" w:themeColor="text1"/>
                <w:sz w:val="24"/>
                <w:szCs w:val="24"/>
              </w:rPr>
            </w:pPr>
            <w:r>
              <w:rPr>
                <w:rFonts w:ascii="Arial" w:hAnsi="Arial" w:cs="Arial"/>
                <w:color w:val="000000" w:themeColor="text1"/>
                <w:sz w:val="24"/>
                <w:szCs w:val="24"/>
              </w:rPr>
              <w:t>The technique ideally analysis the veracity of the witness account of what really took place and their role in the case in question. Experts are of the view that the technique is effective as a polygraph test.  However, both are investigative tools and are not legally admissible evidence.</w:t>
            </w:r>
          </w:p>
          <w:p w:rsidR="0058392A" w:rsidRPr="00473AB0" w:rsidRDefault="0058392A" w:rsidP="0058392A">
            <w:pPr>
              <w:pStyle w:val="ListParagraph"/>
              <w:spacing w:line="360" w:lineRule="auto"/>
              <w:ind w:left="1440"/>
              <w:jc w:val="both"/>
              <w:rPr>
                <w:rFonts w:ascii="Arial" w:hAnsi="Arial" w:cs="Arial"/>
                <w:color w:val="000000" w:themeColor="text1"/>
                <w:sz w:val="10"/>
                <w:szCs w:val="24"/>
              </w:rPr>
            </w:pPr>
          </w:p>
          <w:p w:rsidR="0058392A" w:rsidRPr="00987F4D" w:rsidRDefault="0058392A" w:rsidP="0058392A">
            <w:pPr>
              <w:pStyle w:val="ListParagraph"/>
              <w:spacing w:line="360" w:lineRule="auto"/>
              <w:jc w:val="both"/>
              <w:rPr>
                <w:rFonts w:ascii="Arial" w:hAnsi="Arial" w:cs="Arial"/>
                <w:color w:val="000000" w:themeColor="text1"/>
                <w:sz w:val="2"/>
                <w:szCs w:val="24"/>
              </w:rPr>
            </w:pPr>
          </w:p>
          <w:p w:rsidR="0058392A" w:rsidRPr="00E8295A" w:rsidRDefault="0058392A" w:rsidP="0058392A">
            <w:pPr>
              <w:pStyle w:val="ListParagraph"/>
              <w:jc w:val="both"/>
              <w:rPr>
                <w:rFonts w:ascii="Arial" w:hAnsi="Arial" w:cs="Arial"/>
                <w:sz w:val="8"/>
                <w:szCs w:val="24"/>
              </w:rPr>
            </w:pPr>
          </w:p>
          <w:p w:rsidR="0058392A" w:rsidRPr="00E52B43" w:rsidRDefault="0058392A" w:rsidP="0058392A">
            <w:pPr>
              <w:pStyle w:val="ListParagraph"/>
              <w:numPr>
                <w:ilvl w:val="0"/>
                <w:numId w:val="5"/>
              </w:numPr>
              <w:spacing w:after="160" w:line="360" w:lineRule="auto"/>
              <w:ind w:left="720"/>
              <w:jc w:val="both"/>
              <w:rPr>
                <w:rFonts w:ascii="Arial" w:hAnsi="Arial" w:cs="Arial"/>
                <w:color w:val="000000" w:themeColor="text1"/>
                <w:sz w:val="24"/>
                <w:szCs w:val="24"/>
              </w:rPr>
            </w:pPr>
            <w:r>
              <w:rPr>
                <w:rFonts w:ascii="Arial" w:hAnsi="Arial" w:cs="Arial"/>
                <w:color w:val="000000" w:themeColor="text1"/>
                <w:sz w:val="24"/>
                <w:szCs w:val="24"/>
              </w:rPr>
              <w:t xml:space="preserve">People use language to </w:t>
            </w:r>
            <w:r w:rsidRPr="00E52B43">
              <w:rPr>
                <w:rFonts w:ascii="Arial" w:hAnsi="Arial" w:cs="Arial"/>
                <w:color w:val="000000" w:themeColor="text1"/>
                <w:sz w:val="24"/>
                <w:szCs w:val="24"/>
              </w:rPr>
              <w:t xml:space="preserve">communicate. Visual accessing cues refers to the language of the eyes and the principle related to it.  The eye exquisitely reveals in real time our true sentiments. </w:t>
            </w:r>
          </w:p>
          <w:p w:rsidR="0058392A" w:rsidRPr="00346A97" w:rsidRDefault="0058392A" w:rsidP="0058392A">
            <w:pPr>
              <w:pStyle w:val="ListParagraph"/>
              <w:spacing w:line="360" w:lineRule="auto"/>
              <w:jc w:val="both"/>
              <w:rPr>
                <w:rFonts w:ascii="Arial" w:hAnsi="Arial" w:cs="Arial"/>
                <w:color w:val="000000" w:themeColor="text1"/>
                <w:sz w:val="10"/>
                <w:szCs w:val="24"/>
              </w:rPr>
            </w:pPr>
          </w:p>
          <w:p w:rsidR="0058392A" w:rsidRDefault="0058392A" w:rsidP="0058392A">
            <w:pPr>
              <w:pStyle w:val="ListParagraph"/>
              <w:spacing w:line="360" w:lineRule="auto"/>
              <w:jc w:val="both"/>
              <w:rPr>
                <w:rFonts w:ascii="Arial" w:hAnsi="Arial" w:cs="Arial"/>
                <w:color w:val="000000" w:themeColor="text1"/>
                <w:sz w:val="24"/>
                <w:szCs w:val="24"/>
              </w:rPr>
            </w:pPr>
            <w:r>
              <w:rPr>
                <w:rFonts w:ascii="Arial" w:hAnsi="Arial" w:cs="Arial"/>
                <w:color w:val="000000" w:themeColor="text1"/>
                <w:sz w:val="24"/>
                <w:szCs w:val="24"/>
              </w:rPr>
              <w:lastRenderedPageBreak/>
              <w:t xml:space="preserve">When interviewees are asked a question that requires them to recall something, their eye movements betray whether the thought process is truthful or deceptive. </w:t>
            </w:r>
          </w:p>
          <w:p w:rsidR="0058392A" w:rsidRPr="00473AB0" w:rsidRDefault="0058392A" w:rsidP="0058392A">
            <w:pPr>
              <w:pStyle w:val="ListParagraph"/>
              <w:spacing w:line="360" w:lineRule="auto"/>
              <w:jc w:val="both"/>
              <w:rPr>
                <w:rFonts w:ascii="Arial" w:hAnsi="Arial" w:cs="Arial"/>
                <w:color w:val="000000" w:themeColor="text1"/>
                <w:sz w:val="8"/>
                <w:szCs w:val="24"/>
              </w:rPr>
            </w:pPr>
          </w:p>
          <w:p w:rsidR="0058392A" w:rsidRDefault="0058392A" w:rsidP="0058392A">
            <w:pPr>
              <w:pStyle w:val="ListParagraph"/>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These visual cues can be the key to unlocking the subject’s method of accessing information. For example, people move their eyes up when remembering pictures. </w:t>
            </w:r>
          </w:p>
          <w:p w:rsidR="0058392A" w:rsidRPr="00473AB0" w:rsidRDefault="0058392A" w:rsidP="0058392A">
            <w:pPr>
              <w:pStyle w:val="ListParagraph"/>
              <w:spacing w:line="360" w:lineRule="auto"/>
              <w:jc w:val="both"/>
              <w:rPr>
                <w:rFonts w:ascii="Arial" w:hAnsi="Arial" w:cs="Arial"/>
                <w:color w:val="000000" w:themeColor="text1"/>
                <w:sz w:val="10"/>
                <w:szCs w:val="24"/>
              </w:rPr>
            </w:pPr>
          </w:p>
          <w:p w:rsidR="0058392A" w:rsidRDefault="0058392A" w:rsidP="0058392A">
            <w:pPr>
              <w:pStyle w:val="ListParagraph"/>
              <w:spacing w:line="360" w:lineRule="auto"/>
              <w:jc w:val="both"/>
              <w:rPr>
                <w:rFonts w:ascii="Arial" w:hAnsi="Arial" w:cs="Arial"/>
                <w:color w:val="000000" w:themeColor="text1"/>
                <w:sz w:val="24"/>
                <w:szCs w:val="24"/>
              </w:rPr>
            </w:pPr>
            <w:r>
              <w:rPr>
                <w:rFonts w:ascii="Arial" w:hAnsi="Arial" w:cs="Arial"/>
                <w:color w:val="000000" w:themeColor="text1"/>
                <w:sz w:val="24"/>
                <w:szCs w:val="24"/>
              </w:rPr>
              <w:t>Eye language can lead to reliable interpretations and results alongside best practices during interviews. The limitation however, of this technique is that eye movement cues and interpretations are only applicable to the right-handed people.</w:t>
            </w:r>
          </w:p>
          <w:p w:rsidR="0058392A" w:rsidRPr="00346A97" w:rsidRDefault="0058392A" w:rsidP="0058392A">
            <w:pPr>
              <w:pStyle w:val="ListParagraph"/>
              <w:spacing w:line="360" w:lineRule="auto"/>
              <w:jc w:val="both"/>
              <w:rPr>
                <w:rFonts w:ascii="Arial" w:hAnsi="Arial" w:cs="Arial"/>
                <w:color w:val="000000" w:themeColor="text1"/>
                <w:sz w:val="2"/>
                <w:szCs w:val="24"/>
              </w:rPr>
            </w:pPr>
          </w:p>
          <w:p w:rsidR="0058392A" w:rsidRPr="00076B9C" w:rsidRDefault="0058392A" w:rsidP="0058392A">
            <w:pPr>
              <w:pStyle w:val="ListParagraph"/>
              <w:spacing w:line="360" w:lineRule="auto"/>
              <w:jc w:val="both"/>
              <w:rPr>
                <w:rFonts w:ascii="Arial" w:hAnsi="Arial" w:cs="Arial"/>
                <w:color w:val="000000" w:themeColor="text1"/>
                <w:sz w:val="16"/>
                <w:szCs w:val="24"/>
              </w:rPr>
            </w:pPr>
          </w:p>
          <w:p w:rsidR="0058392A" w:rsidRDefault="0058392A" w:rsidP="0058392A">
            <w:pPr>
              <w:pStyle w:val="ListParagraph"/>
              <w:numPr>
                <w:ilvl w:val="0"/>
                <w:numId w:val="5"/>
              </w:numPr>
              <w:spacing w:after="160" w:line="360" w:lineRule="auto"/>
              <w:ind w:left="720"/>
              <w:jc w:val="both"/>
              <w:rPr>
                <w:rFonts w:ascii="Arial" w:hAnsi="Arial" w:cs="Arial"/>
                <w:color w:val="000000" w:themeColor="text1"/>
                <w:sz w:val="24"/>
                <w:szCs w:val="24"/>
              </w:rPr>
            </w:pPr>
            <w:r w:rsidRPr="00802689">
              <w:rPr>
                <w:rFonts w:ascii="Arial" w:hAnsi="Arial" w:cs="Arial"/>
                <w:color w:val="000000" w:themeColor="text1"/>
                <w:sz w:val="24"/>
                <w:szCs w:val="24"/>
              </w:rPr>
              <w:t>In addition to body</w:t>
            </w:r>
            <w:r>
              <w:rPr>
                <w:rFonts w:ascii="Arial" w:hAnsi="Arial" w:cs="Arial"/>
                <w:color w:val="000000" w:themeColor="text1"/>
                <w:sz w:val="24"/>
                <w:szCs w:val="24"/>
              </w:rPr>
              <w:t xml:space="preserve"> language, an investigator can assess other cues to determine whether a person is telling lies. These include:</w:t>
            </w:r>
          </w:p>
          <w:p w:rsidR="0058392A" w:rsidRPr="00473AB0" w:rsidRDefault="0058392A" w:rsidP="0058392A">
            <w:pPr>
              <w:pStyle w:val="ListParagraph"/>
              <w:spacing w:line="360" w:lineRule="auto"/>
              <w:jc w:val="both"/>
              <w:rPr>
                <w:rFonts w:ascii="Arial" w:hAnsi="Arial" w:cs="Arial"/>
                <w:color w:val="000000" w:themeColor="text1"/>
                <w:sz w:val="8"/>
                <w:szCs w:val="24"/>
              </w:rPr>
            </w:pPr>
          </w:p>
          <w:p w:rsidR="0058392A" w:rsidRDefault="0058392A" w:rsidP="0058392A">
            <w:pPr>
              <w:pStyle w:val="ListParagraph"/>
              <w:spacing w:line="360" w:lineRule="auto"/>
              <w:jc w:val="both"/>
              <w:rPr>
                <w:rFonts w:ascii="Arial" w:hAnsi="Arial" w:cs="Arial"/>
                <w:color w:val="000000" w:themeColor="text1"/>
                <w:sz w:val="24"/>
                <w:szCs w:val="24"/>
              </w:rPr>
            </w:pPr>
            <w:r>
              <w:rPr>
                <w:rFonts w:ascii="Arial" w:hAnsi="Arial" w:cs="Arial"/>
                <w:color w:val="000000" w:themeColor="text1"/>
                <w:sz w:val="24"/>
                <w:szCs w:val="24"/>
              </w:rPr>
              <w:t>Interpersonal interactions. Inconsistent gestures such as a person shaking his head and then saying yes could indicate subtle lies.</w:t>
            </w:r>
          </w:p>
          <w:p w:rsidR="0058392A" w:rsidRPr="00473AB0" w:rsidRDefault="0058392A" w:rsidP="0058392A">
            <w:pPr>
              <w:pStyle w:val="ListParagraph"/>
              <w:spacing w:line="360" w:lineRule="auto"/>
              <w:jc w:val="both"/>
              <w:rPr>
                <w:rFonts w:ascii="Arial" w:hAnsi="Arial" w:cs="Arial"/>
                <w:color w:val="000000" w:themeColor="text1"/>
                <w:sz w:val="10"/>
                <w:szCs w:val="24"/>
              </w:rPr>
            </w:pPr>
          </w:p>
          <w:p w:rsidR="0058392A" w:rsidRDefault="0058392A" w:rsidP="0058392A">
            <w:pPr>
              <w:pStyle w:val="ListParagraph"/>
              <w:spacing w:line="360" w:lineRule="auto"/>
              <w:jc w:val="both"/>
              <w:rPr>
                <w:rFonts w:ascii="Arial" w:hAnsi="Arial" w:cs="Arial"/>
                <w:color w:val="000000" w:themeColor="text1"/>
                <w:sz w:val="24"/>
                <w:szCs w:val="24"/>
              </w:rPr>
            </w:pPr>
            <w:r>
              <w:rPr>
                <w:rFonts w:ascii="Arial" w:hAnsi="Arial" w:cs="Arial"/>
                <w:color w:val="000000" w:themeColor="text1"/>
                <w:sz w:val="24"/>
                <w:szCs w:val="24"/>
              </w:rPr>
              <w:t>Emotional states. A deceitful person will usually avoid touching the person investigating him or her.</w:t>
            </w:r>
          </w:p>
          <w:p w:rsidR="0058392A" w:rsidRPr="00473AB0" w:rsidRDefault="0058392A" w:rsidP="0058392A">
            <w:pPr>
              <w:pStyle w:val="ListParagraph"/>
              <w:spacing w:line="360" w:lineRule="auto"/>
              <w:jc w:val="both"/>
              <w:rPr>
                <w:rFonts w:ascii="Arial" w:hAnsi="Arial" w:cs="Arial"/>
                <w:color w:val="000000" w:themeColor="text1"/>
                <w:sz w:val="12"/>
                <w:szCs w:val="24"/>
              </w:rPr>
            </w:pPr>
          </w:p>
          <w:p w:rsidR="0058392A" w:rsidRDefault="0058392A" w:rsidP="0058392A">
            <w:pPr>
              <w:pStyle w:val="ListParagraph"/>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Verbal content. Paraphrasing a question after it has been asked is an indication of deception. Usually a suspect attempt to buy time to give an answer which could be untruthful. </w:t>
            </w:r>
          </w:p>
          <w:p w:rsidR="0058392A" w:rsidRPr="00473AB0" w:rsidRDefault="0058392A" w:rsidP="0058392A">
            <w:pPr>
              <w:pStyle w:val="ListParagraph"/>
              <w:spacing w:line="360" w:lineRule="auto"/>
              <w:jc w:val="both"/>
              <w:rPr>
                <w:rFonts w:ascii="Arial" w:hAnsi="Arial" w:cs="Arial"/>
                <w:color w:val="000000" w:themeColor="text1"/>
                <w:sz w:val="12"/>
                <w:szCs w:val="24"/>
              </w:rPr>
            </w:pPr>
          </w:p>
          <w:p w:rsidR="0058392A" w:rsidRDefault="0058392A" w:rsidP="0058392A">
            <w:pPr>
              <w:pStyle w:val="ListParagraph"/>
              <w:spacing w:line="360" w:lineRule="auto"/>
              <w:jc w:val="both"/>
              <w:rPr>
                <w:rFonts w:ascii="Arial" w:hAnsi="Arial" w:cs="Arial"/>
                <w:color w:val="000000" w:themeColor="text1"/>
                <w:sz w:val="24"/>
                <w:szCs w:val="24"/>
              </w:rPr>
            </w:pPr>
            <w:r>
              <w:rPr>
                <w:rFonts w:ascii="Arial" w:hAnsi="Arial" w:cs="Arial"/>
                <w:color w:val="000000" w:themeColor="text1"/>
                <w:sz w:val="24"/>
                <w:szCs w:val="24"/>
              </w:rPr>
              <w:t>Finally, the other cue is using psychological frames. Often deceitful persons leave out details of what really took place, and infer to details related to delays and cancellations instead.  In addition, a suspect may substitute words to disassociate people or events in order to cover up their actions.</w:t>
            </w:r>
          </w:p>
          <w:p w:rsidR="0058392A" w:rsidRPr="00473AB0" w:rsidRDefault="0058392A" w:rsidP="0058392A">
            <w:pPr>
              <w:pStyle w:val="ListParagraph"/>
              <w:spacing w:line="360" w:lineRule="auto"/>
              <w:jc w:val="both"/>
              <w:rPr>
                <w:rFonts w:ascii="Arial" w:hAnsi="Arial" w:cs="Arial"/>
                <w:color w:val="000000" w:themeColor="text1"/>
                <w:sz w:val="12"/>
                <w:szCs w:val="24"/>
              </w:rPr>
            </w:pPr>
          </w:p>
          <w:p w:rsidR="0058392A" w:rsidRPr="00E52B43" w:rsidRDefault="0058392A" w:rsidP="0058392A">
            <w:pPr>
              <w:pStyle w:val="ListParagraph"/>
              <w:spacing w:line="360" w:lineRule="auto"/>
              <w:jc w:val="both"/>
              <w:rPr>
                <w:rFonts w:ascii="Arial" w:hAnsi="Arial" w:cs="Arial"/>
                <w:color w:val="000000" w:themeColor="text1"/>
                <w:sz w:val="24"/>
                <w:szCs w:val="24"/>
              </w:rPr>
            </w:pPr>
            <w:r>
              <w:rPr>
                <w:rFonts w:ascii="Arial" w:hAnsi="Arial" w:cs="Arial"/>
                <w:color w:val="000000" w:themeColor="text1"/>
                <w:sz w:val="24"/>
                <w:szCs w:val="24"/>
              </w:rPr>
              <w:t>In closing, in as much as these cues could be an indicator to deception, they have weaknesses and thus are sometimes inadmissible in court.</w:t>
            </w:r>
          </w:p>
          <w:p w:rsidR="0058392A" w:rsidRPr="00F75D90" w:rsidRDefault="0058392A" w:rsidP="0058392A">
            <w:pPr>
              <w:pStyle w:val="ListParagraph"/>
              <w:spacing w:line="360" w:lineRule="auto"/>
              <w:jc w:val="both"/>
              <w:rPr>
                <w:rFonts w:ascii="Arial" w:hAnsi="Arial" w:cs="Arial"/>
                <w:color w:val="000000" w:themeColor="text1"/>
                <w:sz w:val="10"/>
                <w:szCs w:val="24"/>
              </w:rPr>
            </w:pPr>
          </w:p>
          <w:p w:rsidR="0058392A" w:rsidRPr="00473AB0" w:rsidRDefault="0058392A" w:rsidP="0058392A">
            <w:pPr>
              <w:pStyle w:val="ListParagraph"/>
              <w:spacing w:line="360" w:lineRule="auto"/>
              <w:jc w:val="both"/>
              <w:rPr>
                <w:rFonts w:ascii="Arial" w:hAnsi="Arial" w:cs="Arial"/>
                <w:color w:val="000000" w:themeColor="text1"/>
                <w:sz w:val="2"/>
                <w:szCs w:val="24"/>
              </w:rPr>
            </w:pPr>
          </w:p>
          <w:p w:rsidR="00473AB0" w:rsidRDefault="00473AB0" w:rsidP="0058392A">
            <w:pPr>
              <w:pStyle w:val="ListParagraph"/>
              <w:spacing w:line="360" w:lineRule="auto"/>
              <w:jc w:val="both"/>
              <w:rPr>
                <w:rFonts w:ascii="Arial" w:hAnsi="Arial" w:cs="Arial"/>
                <w:color w:val="000000" w:themeColor="text1"/>
                <w:sz w:val="4"/>
                <w:szCs w:val="24"/>
              </w:rPr>
            </w:pPr>
          </w:p>
          <w:p w:rsidR="00473AB0" w:rsidRDefault="00473AB0" w:rsidP="0058392A">
            <w:pPr>
              <w:pStyle w:val="ListParagraph"/>
              <w:spacing w:line="360" w:lineRule="auto"/>
              <w:jc w:val="both"/>
              <w:rPr>
                <w:rFonts w:ascii="Arial" w:hAnsi="Arial" w:cs="Arial"/>
                <w:color w:val="000000" w:themeColor="text1"/>
                <w:sz w:val="4"/>
                <w:szCs w:val="24"/>
              </w:rPr>
            </w:pPr>
          </w:p>
          <w:p w:rsidR="0058392A" w:rsidRDefault="0058392A" w:rsidP="0058392A">
            <w:pPr>
              <w:spacing w:line="360" w:lineRule="auto"/>
              <w:jc w:val="both"/>
              <w:rPr>
                <w:rFonts w:ascii="Arial" w:hAnsi="Arial" w:cs="Arial"/>
                <w:sz w:val="24"/>
                <w:szCs w:val="24"/>
              </w:rPr>
            </w:pPr>
            <w:r>
              <w:rPr>
                <w:rFonts w:ascii="Arial" w:hAnsi="Arial" w:cs="Arial"/>
                <w:color w:val="000000" w:themeColor="text1"/>
                <w:sz w:val="24"/>
                <w:szCs w:val="24"/>
              </w:rPr>
              <w:t xml:space="preserve">      </w:t>
            </w:r>
            <w:r w:rsidRPr="00DB3A8B">
              <w:rPr>
                <w:rFonts w:ascii="Arial" w:hAnsi="Arial" w:cs="Arial"/>
                <w:sz w:val="24"/>
                <w:szCs w:val="24"/>
              </w:rPr>
              <w:t>Question 2</w:t>
            </w:r>
          </w:p>
          <w:p w:rsidR="0058392A" w:rsidRPr="00B71CBA" w:rsidRDefault="0058392A" w:rsidP="0058392A">
            <w:pPr>
              <w:spacing w:line="360" w:lineRule="auto"/>
              <w:jc w:val="both"/>
              <w:rPr>
                <w:rFonts w:ascii="Arial" w:hAnsi="Arial" w:cs="Arial"/>
                <w:sz w:val="2"/>
                <w:szCs w:val="24"/>
              </w:rPr>
            </w:pPr>
          </w:p>
          <w:p w:rsidR="0058392A" w:rsidRDefault="0058392A" w:rsidP="0058392A">
            <w:pPr>
              <w:spacing w:line="360" w:lineRule="auto"/>
              <w:ind w:left="720"/>
              <w:jc w:val="both"/>
              <w:rPr>
                <w:rFonts w:ascii="Arial" w:hAnsi="Arial" w:cs="Arial"/>
                <w:color w:val="000000" w:themeColor="text1"/>
                <w:sz w:val="24"/>
                <w:szCs w:val="24"/>
              </w:rPr>
            </w:pPr>
            <w:r w:rsidRPr="00802689">
              <w:rPr>
                <w:rFonts w:ascii="Arial" w:hAnsi="Arial" w:cs="Arial"/>
                <w:color w:val="000000" w:themeColor="text1"/>
                <w:sz w:val="24"/>
                <w:szCs w:val="24"/>
              </w:rPr>
              <w:t>The auditor’s</w:t>
            </w:r>
            <w:r w:rsidRPr="005D492A">
              <w:rPr>
                <w:rFonts w:ascii="Arial" w:hAnsi="Arial" w:cs="Arial"/>
                <w:color w:val="000000" w:themeColor="text1"/>
                <w:sz w:val="24"/>
                <w:szCs w:val="24"/>
              </w:rPr>
              <w:t xml:space="preserve"> concern is that financial statements of an entity be stated fairly in all material respects. Accordingly, the auditor’s responsibility is to design and implement audit procedures of sufficient scope and depth to detect material deficiencies, essentially without regard to the source or origin of the deficiency. </w:t>
            </w:r>
          </w:p>
          <w:p w:rsidR="00473AB0" w:rsidRPr="00473AB0" w:rsidRDefault="00473AB0" w:rsidP="0058392A">
            <w:pPr>
              <w:spacing w:line="360" w:lineRule="auto"/>
              <w:ind w:left="720"/>
              <w:jc w:val="both"/>
              <w:rPr>
                <w:rFonts w:ascii="Arial" w:hAnsi="Arial" w:cs="Arial"/>
                <w:color w:val="000000" w:themeColor="text1"/>
                <w:sz w:val="10"/>
                <w:szCs w:val="24"/>
              </w:rPr>
            </w:pPr>
          </w:p>
          <w:p w:rsidR="0058392A" w:rsidRDefault="0058392A" w:rsidP="0058392A">
            <w:pPr>
              <w:spacing w:line="360" w:lineRule="auto"/>
              <w:ind w:left="720"/>
              <w:jc w:val="both"/>
              <w:rPr>
                <w:rFonts w:ascii="Arial" w:hAnsi="Arial" w:cs="Arial"/>
                <w:color w:val="000000" w:themeColor="text1"/>
                <w:sz w:val="24"/>
                <w:szCs w:val="24"/>
              </w:rPr>
            </w:pPr>
            <w:r w:rsidRPr="005D492A">
              <w:rPr>
                <w:rFonts w:ascii="Arial" w:hAnsi="Arial" w:cs="Arial"/>
                <w:color w:val="000000" w:themeColor="text1"/>
                <w:sz w:val="24"/>
                <w:szCs w:val="24"/>
              </w:rPr>
              <w:t xml:space="preserve">Conversely, </w:t>
            </w:r>
            <w:r>
              <w:rPr>
                <w:rFonts w:ascii="Arial" w:hAnsi="Arial" w:cs="Arial"/>
                <w:color w:val="000000" w:themeColor="text1"/>
                <w:sz w:val="24"/>
                <w:szCs w:val="24"/>
              </w:rPr>
              <w:t xml:space="preserve">a fraud </w:t>
            </w:r>
            <w:r w:rsidRPr="005D492A">
              <w:rPr>
                <w:rFonts w:ascii="Arial" w:hAnsi="Arial" w:cs="Arial"/>
                <w:color w:val="000000" w:themeColor="text1"/>
                <w:sz w:val="24"/>
                <w:szCs w:val="24"/>
              </w:rPr>
              <w:t xml:space="preserve">investigator’s concern is </w:t>
            </w:r>
            <w:r>
              <w:rPr>
                <w:rFonts w:ascii="Arial" w:hAnsi="Arial" w:cs="Arial"/>
                <w:color w:val="000000" w:themeColor="text1"/>
                <w:sz w:val="24"/>
                <w:szCs w:val="24"/>
              </w:rPr>
              <w:t xml:space="preserve">not with reaching a general opinion on financial statements, rather, it is at a much more granular level with </w:t>
            </w:r>
            <w:r w:rsidRPr="005D492A">
              <w:rPr>
                <w:rFonts w:ascii="Arial" w:hAnsi="Arial" w:cs="Arial"/>
                <w:color w:val="000000" w:themeColor="text1"/>
                <w:sz w:val="24"/>
                <w:szCs w:val="24"/>
              </w:rPr>
              <w:t xml:space="preserve">the detailed development of factual information, </w:t>
            </w:r>
            <w:r>
              <w:rPr>
                <w:rFonts w:ascii="Arial" w:hAnsi="Arial" w:cs="Arial"/>
                <w:color w:val="000000" w:themeColor="text1"/>
                <w:sz w:val="24"/>
                <w:szCs w:val="24"/>
              </w:rPr>
              <w:t xml:space="preserve">derived from both </w:t>
            </w:r>
            <w:r w:rsidRPr="005D492A">
              <w:rPr>
                <w:rFonts w:ascii="Arial" w:hAnsi="Arial" w:cs="Arial"/>
                <w:color w:val="000000" w:themeColor="text1"/>
                <w:sz w:val="24"/>
                <w:szCs w:val="24"/>
              </w:rPr>
              <w:t>documentary and testimonial</w:t>
            </w:r>
            <w:r>
              <w:rPr>
                <w:rFonts w:ascii="Arial" w:hAnsi="Arial" w:cs="Arial"/>
                <w:color w:val="000000" w:themeColor="text1"/>
                <w:sz w:val="24"/>
                <w:szCs w:val="24"/>
              </w:rPr>
              <w:t xml:space="preserve"> evidence</w:t>
            </w:r>
            <w:r w:rsidRPr="005D492A">
              <w:rPr>
                <w:rFonts w:ascii="Arial" w:hAnsi="Arial" w:cs="Arial"/>
                <w:color w:val="000000" w:themeColor="text1"/>
                <w:sz w:val="24"/>
                <w:szCs w:val="24"/>
              </w:rPr>
              <w:t xml:space="preserve">. </w:t>
            </w:r>
            <w:r>
              <w:rPr>
                <w:rFonts w:ascii="Arial" w:hAnsi="Arial" w:cs="Arial"/>
                <w:color w:val="000000" w:themeColor="text1"/>
                <w:sz w:val="24"/>
                <w:szCs w:val="24"/>
              </w:rPr>
              <w:t>In an investigation, all relevant evidence is sought and examined, thus s</w:t>
            </w:r>
            <w:r w:rsidRPr="005D492A">
              <w:rPr>
                <w:rFonts w:ascii="Arial" w:hAnsi="Arial" w:cs="Arial"/>
                <w:color w:val="000000" w:themeColor="text1"/>
                <w:sz w:val="24"/>
                <w:szCs w:val="24"/>
              </w:rPr>
              <w:t xml:space="preserve">ampling and materiality concepts are generally not used in determining the scope </w:t>
            </w:r>
            <w:r>
              <w:rPr>
                <w:rFonts w:ascii="Arial" w:hAnsi="Arial" w:cs="Arial"/>
                <w:color w:val="000000" w:themeColor="text1"/>
                <w:sz w:val="24"/>
                <w:szCs w:val="24"/>
              </w:rPr>
              <w:t>of the investigation process.</w:t>
            </w:r>
            <w:r w:rsidRPr="005D492A">
              <w:rPr>
                <w:rFonts w:ascii="Arial" w:hAnsi="Arial" w:cs="Arial"/>
                <w:color w:val="000000" w:themeColor="text1"/>
                <w:sz w:val="24"/>
                <w:szCs w:val="24"/>
              </w:rPr>
              <w:t xml:space="preserve"> </w:t>
            </w:r>
            <w:r>
              <w:rPr>
                <w:rFonts w:ascii="Arial" w:hAnsi="Arial" w:cs="Arial"/>
                <w:color w:val="000000" w:themeColor="text1"/>
                <w:sz w:val="24"/>
                <w:szCs w:val="24"/>
              </w:rPr>
              <w:t xml:space="preserve">Moreover, the scope of the investigation and evidence gathered must be capable of withstanding challenges that may be brought by adversely affected parties or regulators. </w:t>
            </w:r>
          </w:p>
          <w:p w:rsidR="00473AB0" w:rsidRPr="00473AB0" w:rsidRDefault="00473AB0" w:rsidP="0058392A">
            <w:pPr>
              <w:spacing w:line="360" w:lineRule="auto"/>
              <w:ind w:left="720"/>
              <w:jc w:val="both"/>
              <w:rPr>
                <w:rFonts w:ascii="Arial" w:hAnsi="Arial" w:cs="Arial"/>
                <w:color w:val="000000" w:themeColor="text1"/>
                <w:sz w:val="10"/>
                <w:szCs w:val="24"/>
              </w:rPr>
            </w:pPr>
          </w:p>
          <w:p w:rsidR="0058392A" w:rsidRDefault="0058392A" w:rsidP="0058392A">
            <w:pPr>
              <w:spacing w:line="360" w:lineRule="auto"/>
              <w:ind w:left="720"/>
              <w:jc w:val="both"/>
              <w:rPr>
                <w:rFonts w:ascii="Arial" w:hAnsi="Arial" w:cs="Arial"/>
                <w:color w:val="000000" w:themeColor="text1"/>
                <w:sz w:val="24"/>
                <w:szCs w:val="24"/>
              </w:rPr>
            </w:pPr>
            <w:r>
              <w:rPr>
                <w:rFonts w:ascii="Arial" w:hAnsi="Arial" w:cs="Arial"/>
                <w:color w:val="000000" w:themeColor="text1"/>
                <w:sz w:val="24"/>
                <w:szCs w:val="24"/>
              </w:rPr>
              <w:t xml:space="preserve">Typically, </w:t>
            </w:r>
            <w:r w:rsidRPr="005D492A">
              <w:rPr>
                <w:rFonts w:ascii="Arial" w:hAnsi="Arial" w:cs="Arial"/>
                <w:color w:val="000000" w:themeColor="text1"/>
                <w:sz w:val="24"/>
                <w:szCs w:val="24"/>
              </w:rPr>
              <w:t xml:space="preserve">auditors ask questions in the course of most audits, whether they </w:t>
            </w:r>
            <w:r>
              <w:rPr>
                <w:rFonts w:ascii="Arial" w:hAnsi="Arial" w:cs="Arial"/>
                <w:color w:val="000000" w:themeColor="text1"/>
                <w:sz w:val="24"/>
                <w:szCs w:val="24"/>
              </w:rPr>
              <w:t xml:space="preserve">are internal or external. However, </w:t>
            </w:r>
            <w:r w:rsidRPr="005D492A">
              <w:rPr>
                <w:rFonts w:ascii="Arial" w:hAnsi="Arial" w:cs="Arial"/>
                <w:color w:val="000000" w:themeColor="text1"/>
                <w:sz w:val="24"/>
                <w:szCs w:val="24"/>
              </w:rPr>
              <w:t xml:space="preserve">there is a difference </w:t>
            </w:r>
            <w:r>
              <w:rPr>
                <w:rFonts w:ascii="Arial" w:hAnsi="Arial" w:cs="Arial"/>
                <w:color w:val="000000" w:themeColor="text1"/>
                <w:sz w:val="24"/>
                <w:szCs w:val="24"/>
              </w:rPr>
              <w:t xml:space="preserve">between </w:t>
            </w:r>
            <w:r w:rsidRPr="005D492A">
              <w:rPr>
                <w:rFonts w:ascii="Arial" w:hAnsi="Arial" w:cs="Arial"/>
                <w:color w:val="000000" w:themeColor="text1"/>
                <w:sz w:val="24"/>
                <w:szCs w:val="24"/>
              </w:rPr>
              <w:t xml:space="preserve">asking questions </w:t>
            </w:r>
            <w:r>
              <w:rPr>
                <w:rFonts w:ascii="Arial" w:hAnsi="Arial" w:cs="Arial"/>
                <w:color w:val="000000" w:themeColor="text1"/>
                <w:sz w:val="24"/>
                <w:szCs w:val="24"/>
              </w:rPr>
              <w:t xml:space="preserve">during an </w:t>
            </w:r>
            <w:r w:rsidRPr="005D492A">
              <w:rPr>
                <w:rFonts w:ascii="Arial" w:hAnsi="Arial" w:cs="Arial"/>
                <w:color w:val="000000" w:themeColor="text1"/>
                <w:sz w:val="24"/>
                <w:szCs w:val="24"/>
              </w:rPr>
              <w:t>audit and asking questions in a fraud investigation</w:t>
            </w:r>
            <w:r>
              <w:rPr>
                <w:rFonts w:ascii="Arial" w:hAnsi="Arial" w:cs="Arial"/>
                <w:color w:val="FF0000"/>
                <w:sz w:val="24"/>
                <w:szCs w:val="24"/>
              </w:rPr>
              <w:t xml:space="preserve"> </w:t>
            </w:r>
            <w:r w:rsidRPr="006D5E88">
              <w:rPr>
                <w:rFonts w:ascii="Arial" w:hAnsi="Arial" w:cs="Arial"/>
                <w:color w:val="000000" w:themeColor="text1"/>
                <w:sz w:val="24"/>
                <w:szCs w:val="24"/>
              </w:rPr>
              <w:t xml:space="preserve">because of the </w:t>
            </w:r>
            <w:r>
              <w:rPr>
                <w:rFonts w:ascii="Arial" w:hAnsi="Arial" w:cs="Arial"/>
                <w:color w:val="000000" w:themeColor="text1"/>
                <w:sz w:val="24"/>
                <w:szCs w:val="24"/>
              </w:rPr>
              <w:t>above concerns.</w:t>
            </w:r>
          </w:p>
          <w:p w:rsidR="00473AB0" w:rsidRPr="00473AB0" w:rsidRDefault="00473AB0" w:rsidP="0058392A">
            <w:pPr>
              <w:spacing w:line="360" w:lineRule="auto"/>
              <w:ind w:left="720"/>
              <w:jc w:val="both"/>
              <w:rPr>
                <w:rFonts w:ascii="Arial" w:hAnsi="Arial" w:cs="Arial"/>
                <w:color w:val="000000" w:themeColor="text1"/>
                <w:sz w:val="10"/>
                <w:szCs w:val="24"/>
              </w:rPr>
            </w:pPr>
          </w:p>
          <w:p w:rsidR="0058392A" w:rsidRDefault="0058392A" w:rsidP="0058392A">
            <w:pPr>
              <w:spacing w:line="360" w:lineRule="auto"/>
              <w:ind w:left="720"/>
              <w:jc w:val="both"/>
              <w:rPr>
                <w:rFonts w:ascii="Arial" w:hAnsi="Arial" w:cs="Arial"/>
                <w:color w:val="000000" w:themeColor="text1"/>
                <w:sz w:val="24"/>
                <w:szCs w:val="24"/>
              </w:rPr>
            </w:pPr>
            <w:r>
              <w:rPr>
                <w:rFonts w:ascii="Arial" w:hAnsi="Arial" w:cs="Arial"/>
                <w:color w:val="000000" w:themeColor="text1"/>
                <w:sz w:val="24"/>
                <w:szCs w:val="24"/>
              </w:rPr>
              <w:t>A fraud</w:t>
            </w:r>
            <w:r w:rsidRPr="006D5E88">
              <w:rPr>
                <w:rFonts w:ascii="Arial" w:hAnsi="Arial" w:cs="Arial"/>
                <w:color w:val="000000" w:themeColor="text1"/>
                <w:sz w:val="24"/>
                <w:szCs w:val="24"/>
              </w:rPr>
              <w:t xml:space="preserve"> investigation usually calls for different tools, technique</w:t>
            </w:r>
            <w:r>
              <w:rPr>
                <w:rFonts w:ascii="Arial" w:hAnsi="Arial" w:cs="Arial"/>
                <w:color w:val="000000" w:themeColor="text1"/>
                <w:sz w:val="24"/>
                <w:szCs w:val="24"/>
              </w:rPr>
              <w:t>s</w:t>
            </w:r>
            <w:r w:rsidRPr="006D5E88">
              <w:rPr>
                <w:rFonts w:ascii="Arial" w:hAnsi="Arial" w:cs="Arial"/>
                <w:color w:val="000000" w:themeColor="text1"/>
                <w:sz w:val="24"/>
                <w:szCs w:val="24"/>
              </w:rPr>
              <w:t xml:space="preserve"> and thought processes, which cannot be obtained from a mere </w:t>
            </w:r>
            <w:r>
              <w:rPr>
                <w:rFonts w:ascii="Arial" w:hAnsi="Arial" w:cs="Arial"/>
                <w:color w:val="000000" w:themeColor="text1"/>
                <w:sz w:val="24"/>
                <w:szCs w:val="24"/>
              </w:rPr>
              <w:t>class room setting, but from the people who work with them.</w:t>
            </w:r>
            <w:r w:rsidRPr="006D5E88">
              <w:rPr>
                <w:rFonts w:ascii="Arial" w:hAnsi="Arial" w:cs="Arial"/>
                <w:color w:val="000000" w:themeColor="text1"/>
                <w:sz w:val="24"/>
                <w:szCs w:val="24"/>
              </w:rPr>
              <w:t xml:space="preserve"> The approach may at times involve applying pressure or on occasions coercion on suspects to obtain evidence which they could be reluctant to reveal. Thus, when compared to an audit, an investigation </w:t>
            </w:r>
            <w:r>
              <w:rPr>
                <w:rFonts w:ascii="Arial" w:hAnsi="Arial" w:cs="Arial"/>
                <w:color w:val="000000" w:themeColor="text1"/>
                <w:sz w:val="24"/>
                <w:szCs w:val="24"/>
              </w:rPr>
              <w:t xml:space="preserve">at times </w:t>
            </w:r>
            <w:r w:rsidRPr="006D5E88">
              <w:rPr>
                <w:rFonts w:ascii="Arial" w:hAnsi="Arial" w:cs="Arial"/>
                <w:color w:val="000000" w:themeColor="text1"/>
                <w:sz w:val="24"/>
                <w:szCs w:val="24"/>
              </w:rPr>
              <w:t xml:space="preserve">sounds more </w:t>
            </w:r>
            <w:r>
              <w:rPr>
                <w:rFonts w:ascii="Arial" w:hAnsi="Arial" w:cs="Arial"/>
                <w:color w:val="000000" w:themeColor="text1"/>
                <w:sz w:val="24"/>
                <w:szCs w:val="24"/>
              </w:rPr>
              <w:t xml:space="preserve">of </w:t>
            </w:r>
            <w:r w:rsidRPr="006D5E88">
              <w:rPr>
                <w:rFonts w:ascii="Arial" w:hAnsi="Arial" w:cs="Arial"/>
                <w:color w:val="000000" w:themeColor="text1"/>
                <w:sz w:val="24"/>
                <w:szCs w:val="24"/>
              </w:rPr>
              <w:t>accusatory than an inquisitive approach.</w:t>
            </w:r>
          </w:p>
          <w:p w:rsidR="00473AB0" w:rsidRPr="006D5E88" w:rsidRDefault="00473AB0" w:rsidP="0058392A">
            <w:pPr>
              <w:spacing w:line="360" w:lineRule="auto"/>
              <w:ind w:left="720"/>
              <w:jc w:val="both"/>
              <w:rPr>
                <w:rFonts w:ascii="Arial" w:hAnsi="Arial" w:cs="Arial"/>
                <w:color w:val="000000" w:themeColor="text1"/>
                <w:sz w:val="24"/>
                <w:szCs w:val="24"/>
              </w:rPr>
            </w:pPr>
          </w:p>
          <w:p w:rsidR="00473AB0" w:rsidRDefault="0058392A" w:rsidP="0058392A">
            <w:pPr>
              <w:spacing w:line="360" w:lineRule="auto"/>
              <w:ind w:left="720"/>
              <w:jc w:val="both"/>
              <w:rPr>
                <w:rFonts w:ascii="Arial" w:hAnsi="Arial" w:cs="Arial"/>
                <w:color w:val="000000" w:themeColor="text1"/>
                <w:sz w:val="24"/>
                <w:szCs w:val="24"/>
              </w:rPr>
            </w:pPr>
            <w:r>
              <w:rPr>
                <w:rFonts w:ascii="Arial" w:hAnsi="Arial" w:cs="Arial"/>
                <w:color w:val="000000" w:themeColor="text1"/>
                <w:sz w:val="24"/>
                <w:szCs w:val="24"/>
              </w:rPr>
              <w:t xml:space="preserve">One of the risks however associated with interviews during a fraud investigation is the possibility the investigator may not be trained or experienced in employing proper interview techniques or worse, unfamiliar with legal protocol of carrying out interviews. In the event of the latter, the case may not reach a desirable conclusion or even end in a counter lawsuit for some legal cause. </w:t>
            </w:r>
          </w:p>
          <w:p w:rsidR="00473AB0" w:rsidRPr="00473AB0" w:rsidRDefault="00473AB0" w:rsidP="0058392A">
            <w:pPr>
              <w:spacing w:line="360" w:lineRule="auto"/>
              <w:ind w:left="720"/>
              <w:jc w:val="both"/>
              <w:rPr>
                <w:rFonts w:ascii="Arial" w:hAnsi="Arial" w:cs="Arial"/>
                <w:color w:val="000000" w:themeColor="text1"/>
                <w:sz w:val="10"/>
                <w:szCs w:val="24"/>
              </w:rPr>
            </w:pPr>
          </w:p>
          <w:p w:rsidR="0058392A" w:rsidRPr="006D5E88" w:rsidRDefault="0058392A" w:rsidP="0058392A">
            <w:pPr>
              <w:spacing w:line="360" w:lineRule="auto"/>
              <w:ind w:left="720"/>
              <w:jc w:val="both"/>
              <w:rPr>
                <w:rFonts w:ascii="Arial" w:hAnsi="Arial" w:cs="Arial"/>
                <w:color w:val="000000" w:themeColor="text1"/>
                <w:sz w:val="24"/>
                <w:szCs w:val="24"/>
              </w:rPr>
            </w:pPr>
            <w:r>
              <w:rPr>
                <w:rFonts w:ascii="Arial" w:hAnsi="Arial" w:cs="Arial"/>
                <w:color w:val="000000" w:themeColor="text1"/>
                <w:sz w:val="24"/>
                <w:szCs w:val="24"/>
              </w:rPr>
              <w:t>In order t</w:t>
            </w:r>
            <w:r w:rsidRPr="006D5E88">
              <w:rPr>
                <w:rFonts w:ascii="Arial" w:hAnsi="Arial" w:cs="Arial"/>
                <w:color w:val="000000" w:themeColor="text1"/>
                <w:sz w:val="24"/>
                <w:szCs w:val="24"/>
              </w:rPr>
              <w:t>o ask questions effectively in a fraud investigation therefore, one must employ best practices for intervie</w:t>
            </w:r>
            <w:r>
              <w:rPr>
                <w:rFonts w:ascii="Arial" w:hAnsi="Arial" w:cs="Arial"/>
                <w:color w:val="000000" w:themeColor="text1"/>
                <w:sz w:val="24"/>
                <w:szCs w:val="24"/>
              </w:rPr>
              <w:t>wing techniques.</w:t>
            </w:r>
          </w:p>
          <w:p w:rsidR="0058392A" w:rsidRPr="00C67F36" w:rsidRDefault="0058392A" w:rsidP="0058392A">
            <w:pPr>
              <w:spacing w:line="360" w:lineRule="auto"/>
              <w:ind w:left="720"/>
              <w:jc w:val="both"/>
              <w:rPr>
                <w:rFonts w:ascii="Arial" w:hAnsi="Arial" w:cs="Arial"/>
                <w:sz w:val="10"/>
                <w:szCs w:val="24"/>
              </w:rPr>
            </w:pPr>
          </w:p>
          <w:p w:rsidR="0058392A" w:rsidRDefault="0058392A" w:rsidP="0058392A">
            <w:pPr>
              <w:spacing w:line="360" w:lineRule="auto"/>
              <w:jc w:val="both"/>
              <w:rPr>
                <w:rFonts w:ascii="Arial" w:hAnsi="Arial" w:cs="Arial"/>
                <w:sz w:val="24"/>
                <w:szCs w:val="24"/>
              </w:rPr>
            </w:pPr>
            <w:r>
              <w:rPr>
                <w:rFonts w:ascii="Arial" w:hAnsi="Arial" w:cs="Arial"/>
                <w:sz w:val="24"/>
                <w:szCs w:val="24"/>
              </w:rPr>
              <w:t xml:space="preserve">       </w:t>
            </w:r>
            <w:r w:rsidRPr="00DB3A8B">
              <w:rPr>
                <w:rFonts w:ascii="Arial" w:hAnsi="Arial" w:cs="Arial"/>
                <w:sz w:val="24"/>
                <w:szCs w:val="24"/>
              </w:rPr>
              <w:t>Question 3</w:t>
            </w:r>
          </w:p>
          <w:p w:rsidR="0058392A" w:rsidRPr="002D3B2F" w:rsidRDefault="0058392A" w:rsidP="0058392A">
            <w:pPr>
              <w:spacing w:line="360" w:lineRule="auto"/>
              <w:ind w:left="720"/>
              <w:jc w:val="both"/>
              <w:rPr>
                <w:rFonts w:ascii="Arial" w:hAnsi="Arial" w:cs="Arial"/>
                <w:sz w:val="2"/>
                <w:szCs w:val="24"/>
              </w:rPr>
            </w:pPr>
          </w:p>
          <w:p w:rsidR="00473AB0" w:rsidRDefault="0058392A" w:rsidP="0058392A">
            <w:pPr>
              <w:spacing w:line="360" w:lineRule="auto"/>
              <w:ind w:left="720"/>
              <w:jc w:val="both"/>
              <w:rPr>
                <w:rFonts w:ascii="Arial" w:hAnsi="Arial" w:cs="Arial"/>
                <w:sz w:val="24"/>
                <w:szCs w:val="24"/>
              </w:rPr>
            </w:pPr>
            <w:r w:rsidRPr="00802689">
              <w:rPr>
                <w:rFonts w:ascii="Arial" w:hAnsi="Arial" w:cs="Arial"/>
                <w:sz w:val="24"/>
                <w:szCs w:val="24"/>
              </w:rPr>
              <w:t>The greatest</w:t>
            </w:r>
            <w:r>
              <w:rPr>
                <w:rFonts w:ascii="Arial" w:hAnsi="Arial" w:cs="Arial"/>
                <w:sz w:val="24"/>
                <w:szCs w:val="24"/>
              </w:rPr>
              <w:t xml:space="preserve"> difference between conducting an interview in the case of financial crimes compared with other crimes, is the need for preparation. The best defense against the natural tendency to leave out questions is to make a general interview outline in advance.  By formulating a list of general questions, and </w:t>
            </w:r>
            <w:r>
              <w:rPr>
                <w:rFonts w:ascii="Arial" w:hAnsi="Arial" w:cs="Arial"/>
                <w:sz w:val="24"/>
                <w:szCs w:val="24"/>
              </w:rPr>
              <w:lastRenderedPageBreak/>
              <w:t>planning the interview in advance, you are much more likely to cover everything you need and stay on track.</w:t>
            </w:r>
          </w:p>
          <w:p w:rsidR="00473AB0" w:rsidRPr="00473AB0" w:rsidRDefault="0058392A" w:rsidP="0058392A">
            <w:pPr>
              <w:spacing w:line="360" w:lineRule="auto"/>
              <w:ind w:left="720"/>
              <w:jc w:val="both"/>
              <w:rPr>
                <w:rFonts w:ascii="Arial" w:hAnsi="Arial" w:cs="Arial"/>
                <w:sz w:val="12"/>
                <w:szCs w:val="24"/>
              </w:rPr>
            </w:pPr>
            <w:r>
              <w:rPr>
                <w:rFonts w:ascii="Arial" w:hAnsi="Arial" w:cs="Arial"/>
                <w:sz w:val="24"/>
                <w:szCs w:val="24"/>
              </w:rPr>
              <w:t xml:space="preserve"> </w:t>
            </w:r>
          </w:p>
          <w:p w:rsidR="0058392A" w:rsidRDefault="0058392A" w:rsidP="0058392A">
            <w:pPr>
              <w:spacing w:line="360" w:lineRule="auto"/>
              <w:ind w:left="720"/>
              <w:jc w:val="both"/>
              <w:rPr>
                <w:rFonts w:ascii="Arial" w:hAnsi="Arial" w:cs="Arial"/>
                <w:sz w:val="24"/>
                <w:szCs w:val="24"/>
              </w:rPr>
            </w:pPr>
            <w:r>
              <w:rPr>
                <w:rFonts w:ascii="Arial" w:hAnsi="Arial" w:cs="Arial"/>
                <w:sz w:val="24"/>
                <w:szCs w:val="24"/>
              </w:rPr>
              <w:t>It is also imperative that instead of going on an endless fishing expedition for evidence to first understand the business, the industry the firm operates in and its normal flow of funds.</w:t>
            </w:r>
          </w:p>
          <w:p w:rsidR="00473AB0" w:rsidRPr="00473AB0" w:rsidRDefault="00473AB0" w:rsidP="0058392A">
            <w:pPr>
              <w:spacing w:line="360" w:lineRule="auto"/>
              <w:ind w:left="720"/>
              <w:jc w:val="both"/>
              <w:rPr>
                <w:rFonts w:ascii="Arial" w:hAnsi="Arial" w:cs="Arial"/>
                <w:sz w:val="12"/>
                <w:szCs w:val="24"/>
              </w:rPr>
            </w:pPr>
          </w:p>
          <w:p w:rsidR="0058392A" w:rsidRDefault="0058392A" w:rsidP="0058392A">
            <w:pPr>
              <w:spacing w:line="360" w:lineRule="auto"/>
              <w:ind w:left="720"/>
              <w:jc w:val="both"/>
              <w:rPr>
                <w:rFonts w:ascii="Arial" w:hAnsi="Arial" w:cs="Arial"/>
                <w:sz w:val="24"/>
                <w:szCs w:val="24"/>
              </w:rPr>
            </w:pPr>
            <w:r>
              <w:rPr>
                <w:rFonts w:ascii="Arial" w:hAnsi="Arial" w:cs="Arial"/>
                <w:sz w:val="24"/>
                <w:szCs w:val="24"/>
              </w:rPr>
              <w:t xml:space="preserve">Thirdly, it is critical to understand the specific language that a financially sophisticated witness speaks as well as review the documents that a witness likely will testify about. This will provide an investigator with a broader picture of the operation, which may help to formalize a more specific tactical approach to the remainder of the investigation. Building knowledge as you go ideally will give you much needed ammunition as well as narrowing the focus of your questions, which will elicit much reliable evidence. </w:t>
            </w:r>
          </w:p>
          <w:p w:rsidR="00473AB0" w:rsidRPr="00473AB0" w:rsidRDefault="00473AB0" w:rsidP="0058392A">
            <w:pPr>
              <w:spacing w:line="360" w:lineRule="auto"/>
              <w:ind w:left="720"/>
              <w:jc w:val="both"/>
              <w:rPr>
                <w:rFonts w:ascii="Arial" w:hAnsi="Arial" w:cs="Arial"/>
                <w:sz w:val="10"/>
                <w:szCs w:val="24"/>
              </w:rPr>
            </w:pPr>
          </w:p>
          <w:p w:rsidR="0058392A" w:rsidRDefault="0058392A" w:rsidP="0058392A">
            <w:pPr>
              <w:spacing w:line="360" w:lineRule="auto"/>
              <w:ind w:left="720"/>
              <w:jc w:val="both"/>
              <w:rPr>
                <w:rFonts w:ascii="Arial" w:hAnsi="Arial" w:cs="Arial"/>
                <w:sz w:val="24"/>
                <w:szCs w:val="24"/>
              </w:rPr>
            </w:pPr>
            <w:r>
              <w:rPr>
                <w:rFonts w:ascii="Arial" w:hAnsi="Arial" w:cs="Arial"/>
                <w:sz w:val="24"/>
                <w:szCs w:val="24"/>
              </w:rPr>
              <w:t xml:space="preserve">Don’t be afraid to take documents or visual aids into the interview room. Allow your witness to take you step by step through the process of flow of funds. It is imperative that you understand the process, flow or procedure you are interviewing the witness about. </w:t>
            </w:r>
          </w:p>
          <w:p w:rsidR="00473AB0" w:rsidRPr="00473AB0" w:rsidRDefault="00473AB0" w:rsidP="0058392A">
            <w:pPr>
              <w:spacing w:line="360" w:lineRule="auto"/>
              <w:ind w:left="720"/>
              <w:jc w:val="both"/>
              <w:rPr>
                <w:rFonts w:ascii="Arial" w:hAnsi="Arial" w:cs="Arial"/>
                <w:sz w:val="10"/>
                <w:szCs w:val="24"/>
              </w:rPr>
            </w:pPr>
          </w:p>
          <w:p w:rsidR="0058392A" w:rsidRDefault="0058392A" w:rsidP="0058392A">
            <w:pPr>
              <w:spacing w:line="360" w:lineRule="auto"/>
              <w:ind w:left="720"/>
              <w:jc w:val="both"/>
              <w:rPr>
                <w:rFonts w:ascii="Arial" w:hAnsi="Arial" w:cs="Arial"/>
                <w:sz w:val="24"/>
                <w:szCs w:val="24"/>
              </w:rPr>
            </w:pPr>
            <w:r>
              <w:rPr>
                <w:rFonts w:ascii="Arial" w:hAnsi="Arial" w:cs="Arial"/>
                <w:sz w:val="24"/>
                <w:szCs w:val="24"/>
              </w:rPr>
              <w:t xml:space="preserve">Draw a flow chart of funds, transactions, or deposits. Visual aids can be an indispensable part of your brainstorming session. Having a strong grasp of the financial picture will be helpful to thoroughly question the witness. </w:t>
            </w:r>
          </w:p>
          <w:p w:rsidR="00473AB0" w:rsidRPr="00473AB0" w:rsidRDefault="00473AB0" w:rsidP="0058392A">
            <w:pPr>
              <w:spacing w:line="360" w:lineRule="auto"/>
              <w:ind w:left="720"/>
              <w:jc w:val="both"/>
              <w:rPr>
                <w:rFonts w:ascii="Arial" w:hAnsi="Arial" w:cs="Arial"/>
                <w:sz w:val="10"/>
                <w:szCs w:val="24"/>
              </w:rPr>
            </w:pPr>
          </w:p>
          <w:p w:rsidR="0058392A" w:rsidRDefault="0058392A" w:rsidP="0058392A">
            <w:pPr>
              <w:spacing w:line="360" w:lineRule="auto"/>
              <w:ind w:left="720"/>
              <w:jc w:val="both"/>
              <w:rPr>
                <w:rFonts w:ascii="Arial" w:hAnsi="Arial" w:cs="Arial"/>
                <w:sz w:val="24"/>
                <w:szCs w:val="24"/>
              </w:rPr>
            </w:pPr>
            <w:r>
              <w:rPr>
                <w:rFonts w:ascii="Arial" w:hAnsi="Arial" w:cs="Arial"/>
                <w:sz w:val="24"/>
                <w:szCs w:val="24"/>
              </w:rPr>
              <w:t xml:space="preserve">Do not be afraid to ask the witness to look at your flowchart or diagram. Have a witness tell exactly where you are mistaken, as well asking the witness to draw the chart of his own will be helpful. In this way, what once was blurred in your mind may become clear. </w:t>
            </w:r>
          </w:p>
          <w:p w:rsidR="00473AB0" w:rsidRPr="00473AB0" w:rsidRDefault="00473AB0" w:rsidP="0058392A">
            <w:pPr>
              <w:spacing w:line="360" w:lineRule="auto"/>
              <w:ind w:left="720"/>
              <w:jc w:val="both"/>
              <w:rPr>
                <w:rFonts w:ascii="Arial" w:hAnsi="Arial" w:cs="Arial"/>
                <w:sz w:val="8"/>
                <w:szCs w:val="24"/>
              </w:rPr>
            </w:pPr>
          </w:p>
          <w:p w:rsidR="0058392A" w:rsidRDefault="0058392A" w:rsidP="0058392A">
            <w:pPr>
              <w:spacing w:line="360" w:lineRule="auto"/>
              <w:ind w:left="720"/>
              <w:jc w:val="both"/>
              <w:rPr>
                <w:rFonts w:ascii="Arial" w:hAnsi="Arial" w:cs="Arial"/>
                <w:sz w:val="24"/>
                <w:szCs w:val="24"/>
              </w:rPr>
            </w:pPr>
            <w:r>
              <w:rPr>
                <w:rFonts w:ascii="Arial" w:hAnsi="Arial" w:cs="Arial"/>
                <w:sz w:val="24"/>
                <w:szCs w:val="24"/>
              </w:rPr>
              <w:t>Finally, be prepared to enlist help. Understanding financial jargon can be mind boggling, more so when one is not a financial guru. When faced with an unfamiliar scenario it will be Solomonic to seek assistance of an expert in that particular field to help in preparing pre-interview analysis.</w:t>
            </w:r>
          </w:p>
          <w:p w:rsidR="0058392A" w:rsidRDefault="0058392A" w:rsidP="0058392A">
            <w:pPr>
              <w:spacing w:line="360" w:lineRule="auto"/>
              <w:ind w:left="720"/>
              <w:jc w:val="both"/>
              <w:rPr>
                <w:rFonts w:ascii="Arial" w:hAnsi="Arial" w:cs="Arial"/>
                <w:sz w:val="40"/>
                <w:szCs w:val="24"/>
              </w:rPr>
            </w:pPr>
            <w:r>
              <w:rPr>
                <w:rFonts w:ascii="Arial" w:hAnsi="Arial" w:cs="Arial"/>
                <w:sz w:val="24"/>
                <w:szCs w:val="24"/>
              </w:rPr>
              <w:t>Apart from obtaining best evidence, b</w:t>
            </w:r>
            <w:r w:rsidRPr="00E430CC">
              <w:rPr>
                <w:rFonts w:ascii="Arial" w:hAnsi="Arial" w:cs="Arial"/>
                <w:sz w:val="24"/>
                <w:szCs w:val="24"/>
              </w:rPr>
              <w:t xml:space="preserve">y closing </w:t>
            </w:r>
            <w:r>
              <w:rPr>
                <w:rFonts w:ascii="Arial" w:hAnsi="Arial" w:cs="Arial"/>
                <w:sz w:val="24"/>
                <w:szCs w:val="24"/>
              </w:rPr>
              <w:t>the interview process in this rapport mode, you are likely to have much easier time if you do need to reinterview the witness.</w:t>
            </w:r>
          </w:p>
          <w:p w:rsidR="00473AB0" w:rsidRPr="00473AB0" w:rsidRDefault="00473AB0" w:rsidP="0058392A">
            <w:pPr>
              <w:spacing w:line="360" w:lineRule="auto"/>
              <w:ind w:left="720"/>
              <w:jc w:val="both"/>
              <w:rPr>
                <w:rFonts w:ascii="Arial" w:hAnsi="Arial" w:cs="Arial"/>
                <w:sz w:val="16"/>
                <w:szCs w:val="24"/>
              </w:rPr>
            </w:pPr>
          </w:p>
          <w:p w:rsidR="0058392A" w:rsidRPr="00346A97" w:rsidRDefault="0058392A" w:rsidP="0058392A">
            <w:pPr>
              <w:spacing w:line="360" w:lineRule="auto"/>
              <w:jc w:val="both"/>
              <w:rPr>
                <w:rFonts w:ascii="Arial" w:hAnsi="Arial" w:cs="Arial"/>
                <w:sz w:val="4"/>
                <w:szCs w:val="24"/>
              </w:rPr>
            </w:pPr>
          </w:p>
          <w:p w:rsidR="0058392A" w:rsidRDefault="0058392A" w:rsidP="0058392A">
            <w:pPr>
              <w:spacing w:line="360" w:lineRule="auto"/>
              <w:jc w:val="both"/>
              <w:rPr>
                <w:rFonts w:ascii="Arial" w:hAnsi="Arial" w:cs="Arial"/>
                <w:sz w:val="24"/>
                <w:szCs w:val="24"/>
              </w:rPr>
            </w:pPr>
            <w:r>
              <w:rPr>
                <w:rFonts w:ascii="Arial" w:hAnsi="Arial" w:cs="Arial"/>
                <w:sz w:val="24"/>
                <w:szCs w:val="24"/>
              </w:rPr>
              <w:lastRenderedPageBreak/>
              <w:t xml:space="preserve">    </w:t>
            </w:r>
            <w:r w:rsidRPr="00DB3A8B">
              <w:rPr>
                <w:rFonts w:ascii="Arial" w:hAnsi="Arial" w:cs="Arial"/>
                <w:sz w:val="24"/>
                <w:szCs w:val="24"/>
              </w:rPr>
              <w:t>References</w:t>
            </w:r>
          </w:p>
          <w:p w:rsidR="00473AB0" w:rsidRPr="00473AB0" w:rsidRDefault="00473AB0" w:rsidP="0058392A">
            <w:pPr>
              <w:spacing w:line="360" w:lineRule="auto"/>
              <w:jc w:val="both"/>
              <w:rPr>
                <w:rFonts w:ascii="Arial" w:hAnsi="Arial" w:cs="Arial"/>
                <w:sz w:val="10"/>
                <w:szCs w:val="24"/>
              </w:rPr>
            </w:pPr>
          </w:p>
          <w:p w:rsidR="0058392A" w:rsidRDefault="0058392A" w:rsidP="0058392A">
            <w:pPr>
              <w:spacing w:line="360" w:lineRule="auto"/>
              <w:ind w:left="720"/>
              <w:jc w:val="both"/>
              <w:rPr>
                <w:rFonts w:ascii="Arial" w:hAnsi="Arial" w:cs="Arial"/>
                <w:sz w:val="24"/>
                <w:szCs w:val="24"/>
              </w:rPr>
            </w:pPr>
            <w:r>
              <w:rPr>
                <w:rFonts w:ascii="Arial" w:hAnsi="Arial" w:cs="Arial"/>
                <w:sz w:val="24"/>
                <w:szCs w:val="24"/>
              </w:rPr>
              <w:t>Abimbola, K. (2002). ‘’The logic of Preliminary Fact Investigation.’’ The Journal of Law and Society 29: 500-60</w:t>
            </w:r>
          </w:p>
          <w:p w:rsidR="00473AB0" w:rsidRPr="00473AB0" w:rsidRDefault="00473AB0" w:rsidP="0058392A">
            <w:pPr>
              <w:spacing w:line="360" w:lineRule="auto"/>
              <w:ind w:left="720"/>
              <w:jc w:val="both"/>
              <w:rPr>
                <w:rFonts w:ascii="Arial" w:hAnsi="Arial" w:cs="Arial"/>
                <w:sz w:val="12"/>
                <w:szCs w:val="24"/>
              </w:rPr>
            </w:pPr>
          </w:p>
          <w:p w:rsidR="0058392A" w:rsidRDefault="0058392A" w:rsidP="0058392A">
            <w:pPr>
              <w:spacing w:line="360" w:lineRule="auto"/>
              <w:ind w:left="720"/>
              <w:jc w:val="both"/>
              <w:rPr>
                <w:rFonts w:ascii="Arial" w:hAnsi="Arial" w:cs="Arial"/>
                <w:sz w:val="24"/>
                <w:szCs w:val="24"/>
              </w:rPr>
            </w:pPr>
            <w:r>
              <w:rPr>
                <w:rFonts w:ascii="Arial" w:hAnsi="Arial" w:cs="Arial"/>
                <w:sz w:val="24"/>
                <w:szCs w:val="24"/>
              </w:rPr>
              <w:t>Allen, R.J. (1991).  “The Nature of Juridical Proof’’. Cardozo Law Review 13.p 300-405</w:t>
            </w:r>
          </w:p>
          <w:p w:rsidR="00473AB0" w:rsidRPr="00473AB0" w:rsidRDefault="00473AB0" w:rsidP="0058392A">
            <w:pPr>
              <w:spacing w:line="360" w:lineRule="auto"/>
              <w:ind w:left="720"/>
              <w:jc w:val="both"/>
              <w:rPr>
                <w:rFonts w:ascii="Arial" w:hAnsi="Arial" w:cs="Arial"/>
                <w:sz w:val="8"/>
                <w:szCs w:val="24"/>
              </w:rPr>
            </w:pPr>
          </w:p>
          <w:p w:rsidR="0058392A" w:rsidRDefault="0058392A" w:rsidP="0058392A">
            <w:pPr>
              <w:spacing w:line="360" w:lineRule="auto"/>
              <w:ind w:left="720"/>
              <w:rPr>
                <w:rFonts w:ascii="Arial" w:hAnsi="Arial" w:cs="Arial"/>
                <w:sz w:val="24"/>
                <w:szCs w:val="24"/>
              </w:rPr>
            </w:pPr>
            <w:r w:rsidRPr="00DB3A8B">
              <w:rPr>
                <w:rFonts w:ascii="Arial" w:hAnsi="Arial" w:cs="Arial"/>
                <w:sz w:val="24"/>
                <w:szCs w:val="24"/>
              </w:rPr>
              <w:t>Arokiasamy, L., &amp; Cristal-Lee. S. (2009). Forensic accounting: Public acceptance towards occurrence of fraud detection. International Journal of Business and Management.</w:t>
            </w:r>
          </w:p>
          <w:p w:rsidR="00473AB0" w:rsidRPr="00473AB0" w:rsidRDefault="00473AB0" w:rsidP="0058392A">
            <w:pPr>
              <w:spacing w:line="360" w:lineRule="auto"/>
              <w:ind w:left="720"/>
              <w:rPr>
                <w:rFonts w:ascii="Arial" w:hAnsi="Arial" w:cs="Arial"/>
                <w:sz w:val="12"/>
                <w:szCs w:val="24"/>
              </w:rPr>
            </w:pPr>
          </w:p>
          <w:p w:rsidR="0058392A" w:rsidRDefault="0058392A" w:rsidP="0058392A">
            <w:pPr>
              <w:spacing w:line="360" w:lineRule="auto"/>
              <w:ind w:left="720"/>
              <w:jc w:val="both"/>
              <w:rPr>
                <w:rFonts w:ascii="Arial" w:hAnsi="Arial" w:cs="Arial"/>
                <w:sz w:val="24"/>
                <w:szCs w:val="24"/>
              </w:rPr>
            </w:pPr>
            <w:r w:rsidRPr="00DB3A8B">
              <w:rPr>
                <w:rFonts w:ascii="Arial" w:hAnsi="Arial" w:cs="Arial"/>
                <w:sz w:val="24"/>
                <w:szCs w:val="24"/>
              </w:rPr>
              <w:t>ACFE (2017). Fraud Examiners Manual (International)</w:t>
            </w:r>
          </w:p>
          <w:p w:rsidR="00473AB0" w:rsidRPr="00473AB0" w:rsidRDefault="00473AB0" w:rsidP="0058392A">
            <w:pPr>
              <w:spacing w:line="360" w:lineRule="auto"/>
              <w:ind w:left="720"/>
              <w:jc w:val="both"/>
              <w:rPr>
                <w:rFonts w:ascii="Arial" w:hAnsi="Arial" w:cs="Arial"/>
                <w:sz w:val="10"/>
                <w:szCs w:val="24"/>
              </w:rPr>
            </w:pPr>
          </w:p>
          <w:p w:rsidR="0058392A" w:rsidRDefault="0058392A" w:rsidP="0058392A">
            <w:pPr>
              <w:spacing w:line="360" w:lineRule="auto"/>
              <w:ind w:left="720"/>
              <w:jc w:val="both"/>
              <w:rPr>
                <w:rFonts w:ascii="Arial" w:hAnsi="Arial" w:cs="Arial"/>
                <w:sz w:val="24"/>
                <w:szCs w:val="24"/>
              </w:rPr>
            </w:pPr>
            <w:r>
              <w:rPr>
                <w:rFonts w:ascii="Arial" w:hAnsi="Arial" w:cs="Arial"/>
                <w:sz w:val="24"/>
                <w:szCs w:val="24"/>
              </w:rPr>
              <w:t>Bakerville, A.T&amp; Brill, A (2002). The CPA’s Handbook of Fraud &amp; Commercial Crime Prevention. American Institute of Certified Public Accountants. New York</w:t>
            </w:r>
          </w:p>
          <w:p w:rsidR="00473AB0" w:rsidRPr="00473AB0" w:rsidRDefault="00473AB0" w:rsidP="0058392A">
            <w:pPr>
              <w:spacing w:line="360" w:lineRule="auto"/>
              <w:ind w:left="720"/>
              <w:jc w:val="both"/>
              <w:rPr>
                <w:rFonts w:ascii="Arial" w:hAnsi="Arial" w:cs="Arial"/>
                <w:sz w:val="12"/>
                <w:szCs w:val="24"/>
              </w:rPr>
            </w:pPr>
          </w:p>
          <w:p w:rsidR="0058392A" w:rsidRDefault="0058392A" w:rsidP="0058392A">
            <w:pPr>
              <w:spacing w:line="360" w:lineRule="auto"/>
              <w:ind w:left="720"/>
              <w:jc w:val="both"/>
              <w:rPr>
                <w:rFonts w:ascii="Arial" w:hAnsi="Arial" w:cs="Arial"/>
                <w:sz w:val="24"/>
                <w:szCs w:val="24"/>
              </w:rPr>
            </w:pPr>
            <w:r>
              <w:rPr>
                <w:rFonts w:ascii="Arial" w:hAnsi="Arial" w:cs="Arial"/>
                <w:sz w:val="24"/>
                <w:szCs w:val="24"/>
              </w:rPr>
              <w:t>Binder, D and Bergman, P. (1999). Fact Investigation: From Hypothesis to Proof. St. Paul, MN: West Publishing</w:t>
            </w:r>
          </w:p>
          <w:p w:rsidR="00473AB0" w:rsidRPr="00473AB0" w:rsidRDefault="00473AB0" w:rsidP="0058392A">
            <w:pPr>
              <w:spacing w:line="360" w:lineRule="auto"/>
              <w:ind w:left="720"/>
              <w:jc w:val="both"/>
              <w:rPr>
                <w:rFonts w:ascii="Arial" w:hAnsi="Arial" w:cs="Arial"/>
                <w:sz w:val="10"/>
                <w:szCs w:val="24"/>
              </w:rPr>
            </w:pPr>
          </w:p>
          <w:p w:rsidR="0058392A" w:rsidRPr="00C21DC0" w:rsidRDefault="0058392A" w:rsidP="0058392A">
            <w:pPr>
              <w:spacing w:line="360" w:lineRule="auto"/>
              <w:ind w:left="720"/>
              <w:jc w:val="both"/>
              <w:rPr>
                <w:rFonts w:ascii="Arial" w:hAnsi="Arial" w:cs="Arial"/>
                <w:sz w:val="2"/>
                <w:szCs w:val="24"/>
              </w:rPr>
            </w:pPr>
          </w:p>
          <w:p w:rsidR="0058392A" w:rsidRDefault="0058392A" w:rsidP="0058392A">
            <w:pPr>
              <w:spacing w:line="360" w:lineRule="auto"/>
              <w:ind w:left="720"/>
              <w:jc w:val="both"/>
              <w:rPr>
                <w:rStyle w:val="Hyperlink"/>
                <w:rFonts w:ascii="Arial" w:hAnsi="Arial" w:cs="Arial"/>
                <w:sz w:val="24"/>
                <w:szCs w:val="24"/>
              </w:rPr>
            </w:pPr>
            <w:r w:rsidRPr="00DB3A8B">
              <w:rPr>
                <w:rFonts w:ascii="Arial" w:hAnsi="Arial" w:cs="Arial"/>
                <w:sz w:val="24"/>
                <w:szCs w:val="24"/>
              </w:rPr>
              <w:t xml:space="preserve">Pamela, H. B et al (2012). Why Do They Do It? The Motives, Mores and Characters of White Collar Criminals. St John’s Law Review Issue 2, Vol 82. Available at: </w:t>
            </w:r>
            <w:hyperlink r:id="rId9" w:history="1">
              <w:r w:rsidRPr="004B4557">
                <w:rPr>
                  <w:rStyle w:val="Hyperlink"/>
                  <w:rFonts w:ascii="Arial" w:hAnsi="Arial" w:cs="Arial"/>
                  <w:sz w:val="24"/>
                  <w:szCs w:val="24"/>
                </w:rPr>
                <w:t>https://scholarship.law.stjohns.edu/cgi</w:t>
              </w:r>
            </w:hyperlink>
          </w:p>
          <w:p w:rsidR="00473AB0" w:rsidRPr="00473AB0" w:rsidRDefault="00473AB0" w:rsidP="0058392A">
            <w:pPr>
              <w:spacing w:line="360" w:lineRule="auto"/>
              <w:ind w:left="720"/>
              <w:jc w:val="both"/>
              <w:rPr>
                <w:rStyle w:val="Hyperlink"/>
                <w:rFonts w:ascii="Arial" w:hAnsi="Arial" w:cs="Arial"/>
                <w:sz w:val="12"/>
                <w:szCs w:val="24"/>
              </w:rPr>
            </w:pPr>
          </w:p>
          <w:p w:rsidR="0058392A" w:rsidRPr="00E477E7" w:rsidRDefault="0058392A" w:rsidP="0058392A">
            <w:pPr>
              <w:spacing w:line="360" w:lineRule="auto"/>
              <w:ind w:left="720"/>
              <w:jc w:val="both"/>
              <w:rPr>
                <w:rStyle w:val="Hyperlink"/>
                <w:rFonts w:ascii="Arial" w:hAnsi="Arial" w:cs="Arial"/>
                <w:sz w:val="2"/>
                <w:szCs w:val="24"/>
              </w:rPr>
            </w:pPr>
          </w:p>
          <w:p w:rsidR="0058392A" w:rsidRDefault="0058392A" w:rsidP="0058392A">
            <w:pPr>
              <w:spacing w:line="360" w:lineRule="auto"/>
              <w:ind w:left="720"/>
              <w:jc w:val="both"/>
              <w:rPr>
                <w:rStyle w:val="Hyperlink"/>
                <w:rFonts w:ascii="Arial" w:hAnsi="Arial" w:cs="Arial"/>
                <w:color w:val="000000" w:themeColor="text1"/>
                <w:sz w:val="24"/>
                <w:szCs w:val="24"/>
              </w:rPr>
            </w:pPr>
            <w:r w:rsidRPr="007919AE">
              <w:rPr>
                <w:rStyle w:val="Hyperlink"/>
                <w:rFonts w:ascii="Arial" w:hAnsi="Arial" w:cs="Arial"/>
                <w:color w:val="000000" w:themeColor="text1"/>
                <w:sz w:val="24"/>
                <w:szCs w:val="24"/>
              </w:rPr>
              <w:t>Silverstone, H., Pedneault, S., Sheetz, M, and Rudewicz, F. (2012). Forensic Accounting and Fraud Investigation. 3</w:t>
            </w:r>
            <w:r w:rsidRPr="007919AE">
              <w:rPr>
                <w:rStyle w:val="Hyperlink"/>
                <w:rFonts w:ascii="Arial" w:hAnsi="Arial" w:cs="Arial"/>
                <w:color w:val="000000" w:themeColor="text1"/>
                <w:sz w:val="24"/>
                <w:szCs w:val="24"/>
                <w:vertAlign w:val="superscript"/>
              </w:rPr>
              <w:t>rd</w:t>
            </w:r>
            <w:r w:rsidRPr="007919AE">
              <w:rPr>
                <w:rStyle w:val="Hyperlink"/>
                <w:rFonts w:ascii="Arial" w:hAnsi="Arial" w:cs="Arial"/>
                <w:color w:val="000000" w:themeColor="text1"/>
                <w:sz w:val="24"/>
                <w:szCs w:val="24"/>
              </w:rPr>
              <w:t xml:space="preserve"> Edition: CPE edition, Wiley</w:t>
            </w:r>
          </w:p>
          <w:p w:rsidR="00473AB0" w:rsidRPr="00473AB0" w:rsidRDefault="00473AB0" w:rsidP="0058392A">
            <w:pPr>
              <w:spacing w:line="360" w:lineRule="auto"/>
              <w:ind w:left="720"/>
              <w:jc w:val="both"/>
              <w:rPr>
                <w:rFonts w:ascii="Arial" w:hAnsi="Arial" w:cs="Arial"/>
                <w:color w:val="000000" w:themeColor="text1"/>
                <w:sz w:val="16"/>
                <w:szCs w:val="24"/>
              </w:rPr>
            </w:pPr>
          </w:p>
          <w:p w:rsidR="0058392A" w:rsidRDefault="0058392A" w:rsidP="0058392A">
            <w:pPr>
              <w:spacing w:line="360" w:lineRule="auto"/>
              <w:ind w:left="720"/>
              <w:jc w:val="both"/>
              <w:rPr>
                <w:rFonts w:ascii="Arial" w:hAnsi="Arial" w:cs="Arial"/>
                <w:sz w:val="24"/>
                <w:szCs w:val="24"/>
              </w:rPr>
            </w:pPr>
            <w:r>
              <w:rPr>
                <w:rFonts w:ascii="Arial" w:hAnsi="Arial" w:cs="Arial"/>
                <w:sz w:val="24"/>
                <w:szCs w:val="24"/>
              </w:rPr>
              <w:t xml:space="preserve">Sridhar, R (2008). The Psychology and Sociology of Fraud: Integrating the Behavioral Sciences Component into Fraud and Forensic Accounting Curricula. Issues in Accounting Education, V23, No.4 </w:t>
            </w:r>
          </w:p>
          <w:p w:rsidR="00473AB0" w:rsidRPr="00473AB0" w:rsidRDefault="00473AB0" w:rsidP="0058392A">
            <w:pPr>
              <w:spacing w:line="360" w:lineRule="auto"/>
              <w:ind w:left="720"/>
              <w:jc w:val="both"/>
              <w:rPr>
                <w:rFonts w:ascii="Arial" w:hAnsi="Arial" w:cs="Arial"/>
                <w:sz w:val="12"/>
                <w:szCs w:val="24"/>
              </w:rPr>
            </w:pPr>
          </w:p>
          <w:p w:rsidR="0058392A" w:rsidRDefault="0058392A" w:rsidP="0058392A">
            <w:pPr>
              <w:spacing w:line="360" w:lineRule="auto"/>
              <w:ind w:left="720"/>
              <w:jc w:val="both"/>
              <w:rPr>
                <w:rFonts w:ascii="Arial" w:hAnsi="Arial" w:cs="Arial"/>
                <w:sz w:val="24"/>
                <w:szCs w:val="24"/>
              </w:rPr>
            </w:pPr>
            <w:r w:rsidRPr="00DB3A8B">
              <w:rPr>
                <w:rFonts w:ascii="Arial" w:hAnsi="Arial" w:cs="Arial"/>
                <w:sz w:val="24"/>
                <w:szCs w:val="24"/>
              </w:rPr>
              <w:t xml:space="preserve">Steve, D.L &amp; Thomas, J.M (2006). Economic Contributions to the Understanding of Crime. Annual Review of Law and Social Science Journal, V 2. 147-64 </w:t>
            </w:r>
          </w:p>
          <w:p w:rsidR="004C2817" w:rsidRDefault="004C2817" w:rsidP="0058392A">
            <w:pPr>
              <w:spacing w:line="360" w:lineRule="auto"/>
              <w:ind w:left="720"/>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6"/>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9163D" w:rsidP="00A851DA">
            <w:pPr>
              <w:rPr>
                <w:rFonts w:cs="Bliss-Regular"/>
                <w:color w:val="000000"/>
              </w:rPr>
            </w:pPr>
            <w:r>
              <w:rPr>
                <w:rFonts w:cs="Bliss-Regular"/>
                <w:color w:val="000000"/>
              </w:rPr>
              <w:t>Walter Philip Nyamori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8392A" w:rsidP="00A851DA">
            <w:pPr>
              <w:rPr>
                <w:rFonts w:cs="Bliss-Regular"/>
                <w:color w:val="000000"/>
              </w:rPr>
            </w:pPr>
            <w:r>
              <w:rPr>
                <w:rFonts w:cs="Bliss-Regular"/>
                <w:color w:val="000000"/>
              </w:rPr>
              <w:t>06</w:t>
            </w:r>
            <w:r w:rsidR="00F40FED">
              <w:rPr>
                <w:rFonts w:cs="Bliss-Regular"/>
                <w:color w:val="000000"/>
              </w:rPr>
              <w:t>.0</w:t>
            </w:r>
            <w:r>
              <w:rPr>
                <w:rFonts w:cs="Bliss-Regular"/>
                <w:color w:val="000000"/>
              </w:rPr>
              <w:t>9</w:t>
            </w:r>
            <w:r w:rsidR="00F40FED">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6A3" w:rsidRDefault="002816A3" w:rsidP="00CB4D0A">
      <w:pPr>
        <w:spacing w:after="0" w:line="240" w:lineRule="auto"/>
      </w:pPr>
      <w:r>
        <w:separator/>
      </w:r>
    </w:p>
  </w:endnote>
  <w:endnote w:type="continuationSeparator" w:id="0">
    <w:p w:rsidR="002816A3" w:rsidRDefault="002816A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6A3" w:rsidRDefault="002816A3" w:rsidP="00CB4D0A">
      <w:pPr>
        <w:spacing w:after="0" w:line="240" w:lineRule="auto"/>
      </w:pPr>
      <w:r>
        <w:separator/>
      </w:r>
    </w:p>
  </w:footnote>
  <w:footnote w:type="continuationSeparator" w:id="0">
    <w:p w:rsidR="002816A3" w:rsidRDefault="002816A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E47A41"/>
    <w:multiLevelType w:val="hybridMultilevel"/>
    <w:tmpl w:val="B41C26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D14239E"/>
    <w:multiLevelType w:val="hybridMultilevel"/>
    <w:tmpl w:val="EBF4A0F0"/>
    <w:lvl w:ilvl="0" w:tplc="B7AEFDD0">
      <w:start w:val="9"/>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F02F3F"/>
    <w:multiLevelType w:val="hybridMultilevel"/>
    <w:tmpl w:val="D6F068F8"/>
    <w:lvl w:ilvl="0" w:tplc="0E703AAA">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335A32"/>
    <w:multiLevelType w:val="hybridMultilevel"/>
    <w:tmpl w:val="153E589A"/>
    <w:lvl w:ilvl="0" w:tplc="9FB4698C">
      <w:start w:val="1"/>
      <w:numFmt w:val="lowerRoman"/>
      <w:lvlText w:val="(%1)"/>
      <w:lvlJc w:val="left"/>
      <w:pPr>
        <w:ind w:left="540" w:hanging="360"/>
      </w:pPr>
      <w:rPr>
        <w:rFonts w:ascii="Arial" w:eastAsiaTheme="minorHAnsi" w:hAnsi="Arial" w:cs="Arial"/>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752BB8"/>
    <w:multiLevelType w:val="hybridMultilevel"/>
    <w:tmpl w:val="06AAEC02"/>
    <w:lvl w:ilvl="0" w:tplc="952091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3951F0"/>
    <w:multiLevelType w:val="hybridMultilevel"/>
    <w:tmpl w:val="459271EA"/>
    <w:lvl w:ilvl="0" w:tplc="7A848A96">
      <w:start w:val="1"/>
      <w:numFmt w:val="lowerRoman"/>
      <w:lvlText w:val="(%1)"/>
      <w:lvlJc w:val="left"/>
      <w:pPr>
        <w:ind w:left="117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63CA1134"/>
    <w:multiLevelType w:val="hybridMultilevel"/>
    <w:tmpl w:val="DC2C065E"/>
    <w:lvl w:ilvl="0" w:tplc="F5D45052">
      <w:start w:val="1"/>
      <w:numFmt w:val="lowerRoman"/>
      <w:lvlText w:val="(%1)"/>
      <w:lvlJc w:val="left"/>
      <w:pPr>
        <w:ind w:left="864" w:hanging="720"/>
      </w:pPr>
      <w:rPr>
        <w:rFonts w:hint="default"/>
      </w:rPr>
    </w:lvl>
    <w:lvl w:ilvl="1" w:tplc="04090019">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8" w15:restartNumberingAfterBreak="0">
    <w:nsid w:val="6FAD7FA2"/>
    <w:multiLevelType w:val="hybridMultilevel"/>
    <w:tmpl w:val="CE8C829A"/>
    <w:lvl w:ilvl="0" w:tplc="2AA445F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A674F3"/>
    <w:multiLevelType w:val="hybridMultilevel"/>
    <w:tmpl w:val="5D9E0FD8"/>
    <w:lvl w:ilvl="0" w:tplc="0DFCBEEE">
      <w:start w:val="1"/>
      <w:numFmt w:val="decimal"/>
      <w:lvlText w:val="%1."/>
      <w:lvlJc w:val="left"/>
      <w:pPr>
        <w:ind w:left="1584" w:hanging="360"/>
      </w:pPr>
      <w:rPr>
        <w:rFonts w:hint="default"/>
      </w:rPr>
    </w:lvl>
    <w:lvl w:ilvl="1" w:tplc="04090019">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0" w15:restartNumberingAfterBreak="0">
    <w:nsid w:val="7D613352"/>
    <w:multiLevelType w:val="hybridMultilevel"/>
    <w:tmpl w:val="F49E047E"/>
    <w:lvl w:ilvl="0" w:tplc="4A62E3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9"/>
  </w:num>
  <w:num w:numId="5">
    <w:abstractNumId w:val="6"/>
  </w:num>
  <w:num w:numId="6">
    <w:abstractNumId w:val="10"/>
  </w:num>
  <w:num w:numId="7">
    <w:abstractNumId w:val="5"/>
  </w:num>
  <w:num w:numId="8">
    <w:abstractNumId w:val="1"/>
  </w:num>
  <w:num w:numId="9">
    <w:abstractNumId w:val="2"/>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1776"/>
    <w:rsid w:val="00033055"/>
    <w:rsid w:val="00035CDD"/>
    <w:rsid w:val="00040083"/>
    <w:rsid w:val="00055992"/>
    <w:rsid w:val="00076B9C"/>
    <w:rsid w:val="000820E8"/>
    <w:rsid w:val="00084713"/>
    <w:rsid w:val="0009418B"/>
    <w:rsid w:val="000A0428"/>
    <w:rsid w:val="000A5F8B"/>
    <w:rsid w:val="000D3011"/>
    <w:rsid w:val="000E0648"/>
    <w:rsid w:val="00114AFD"/>
    <w:rsid w:val="001175EE"/>
    <w:rsid w:val="00120211"/>
    <w:rsid w:val="00157CF6"/>
    <w:rsid w:val="00182416"/>
    <w:rsid w:val="00183CDE"/>
    <w:rsid w:val="00187EB4"/>
    <w:rsid w:val="001903A1"/>
    <w:rsid w:val="001A686D"/>
    <w:rsid w:val="001F0481"/>
    <w:rsid w:val="00200C92"/>
    <w:rsid w:val="0020451E"/>
    <w:rsid w:val="00206B9D"/>
    <w:rsid w:val="0023259C"/>
    <w:rsid w:val="0025461F"/>
    <w:rsid w:val="002816A3"/>
    <w:rsid w:val="0029251B"/>
    <w:rsid w:val="00292B00"/>
    <w:rsid w:val="002B0BD7"/>
    <w:rsid w:val="002B573D"/>
    <w:rsid w:val="002C5CB2"/>
    <w:rsid w:val="002F779F"/>
    <w:rsid w:val="00342C9E"/>
    <w:rsid w:val="003554F5"/>
    <w:rsid w:val="00361D27"/>
    <w:rsid w:val="00371885"/>
    <w:rsid w:val="003965D1"/>
    <w:rsid w:val="003B3F5C"/>
    <w:rsid w:val="003D1741"/>
    <w:rsid w:val="003E2B87"/>
    <w:rsid w:val="003E796D"/>
    <w:rsid w:val="003F6513"/>
    <w:rsid w:val="00402786"/>
    <w:rsid w:val="00405895"/>
    <w:rsid w:val="004058DF"/>
    <w:rsid w:val="004201D5"/>
    <w:rsid w:val="0042220A"/>
    <w:rsid w:val="00425CA6"/>
    <w:rsid w:val="00443E6F"/>
    <w:rsid w:val="004566B9"/>
    <w:rsid w:val="00473AB0"/>
    <w:rsid w:val="00475B1D"/>
    <w:rsid w:val="00486F1A"/>
    <w:rsid w:val="00490CB9"/>
    <w:rsid w:val="004A2CE2"/>
    <w:rsid w:val="004A570B"/>
    <w:rsid w:val="004C2817"/>
    <w:rsid w:val="004D1D79"/>
    <w:rsid w:val="004D373D"/>
    <w:rsid w:val="004E07E2"/>
    <w:rsid w:val="004E3CDA"/>
    <w:rsid w:val="004F4B4D"/>
    <w:rsid w:val="0050216D"/>
    <w:rsid w:val="00503D7E"/>
    <w:rsid w:val="0050778F"/>
    <w:rsid w:val="00527C11"/>
    <w:rsid w:val="00535F31"/>
    <w:rsid w:val="00562CD8"/>
    <w:rsid w:val="00574D64"/>
    <w:rsid w:val="00582198"/>
    <w:rsid w:val="0058392A"/>
    <w:rsid w:val="00591365"/>
    <w:rsid w:val="0059426D"/>
    <w:rsid w:val="005A046D"/>
    <w:rsid w:val="005B31E4"/>
    <w:rsid w:val="005C3DE2"/>
    <w:rsid w:val="005E1316"/>
    <w:rsid w:val="005E131E"/>
    <w:rsid w:val="005E379B"/>
    <w:rsid w:val="005F39C9"/>
    <w:rsid w:val="006034F6"/>
    <w:rsid w:val="00607874"/>
    <w:rsid w:val="00607E77"/>
    <w:rsid w:val="00617BB3"/>
    <w:rsid w:val="006357F0"/>
    <w:rsid w:val="00645CDD"/>
    <w:rsid w:val="006823A7"/>
    <w:rsid w:val="00686DF6"/>
    <w:rsid w:val="00687EE8"/>
    <w:rsid w:val="006A1092"/>
    <w:rsid w:val="006C1897"/>
    <w:rsid w:val="006D3C2C"/>
    <w:rsid w:val="006E2872"/>
    <w:rsid w:val="006F787C"/>
    <w:rsid w:val="0070347F"/>
    <w:rsid w:val="0070678E"/>
    <w:rsid w:val="007147DA"/>
    <w:rsid w:val="00714FE1"/>
    <w:rsid w:val="00721DB5"/>
    <w:rsid w:val="007511A1"/>
    <w:rsid w:val="00767AA3"/>
    <w:rsid w:val="00774333"/>
    <w:rsid w:val="007F75F1"/>
    <w:rsid w:val="00831C11"/>
    <w:rsid w:val="008A60B4"/>
    <w:rsid w:val="008A781A"/>
    <w:rsid w:val="008B3C31"/>
    <w:rsid w:val="008B64FE"/>
    <w:rsid w:val="00917A4F"/>
    <w:rsid w:val="00925B09"/>
    <w:rsid w:val="00935BF7"/>
    <w:rsid w:val="0095442C"/>
    <w:rsid w:val="0096325C"/>
    <w:rsid w:val="009638C6"/>
    <w:rsid w:val="00980480"/>
    <w:rsid w:val="00983942"/>
    <w:rsid w:val="009C37E0"/>
    <w:rsid w:val="009C3D37"/>
    <w:rsid w:val="009E41F4"/>
    <w:rsid w:val="009E5BA4"/>
    <w:rsid w:val="00A01886"/>
    <w:rsid w:val="00A037E0"/>
    <w:rsid w:val="00A14B66"/>
    <w:rsid w:val="00A228B0"/>
    <w:rsid w:val="00A53E06"/>
    <w:rsid w:val="00A65CF7"/>
    <w:rsid w:val="00A804A9"/>
    <w:rsid w:val="00A81AB4"/>
    <w:rsid w:val="00A851DA"/>
    <w:rsid w:val="00AC4910"/>
    <w:rsid w:val="00AC7D5B"/>
    <w:rsid w:val="00AE1481"/>
    <w:rsid w:val="00AF3770"/>
    <w:rsid w:val="00B0415E"/>
    <w:rsid w:val="00B04678"/>
    <w:rsid w:val="00B44EEC"/>
    <w:rsid w:val="00B554D1"/>
    <w:rsid w:val="00B71BE2"/>
    <w:rsid w:val="00BA7E20"/>
    <w:rsid w:val="00BC46DF"/>
    <w:rsid w:val="00C03577"/>
    <w:rsid w:val="00C170D1"/>
    <w:rsid w:val="00C5215D"/>
    <w:rsid w:val="00C53029"/>
    <w:rsid w:val="00C65FEA"/>
    <w:rsid w:val="00C70E66"/>
    <w:rsid w:val="00C82F9C"/>
    <w:rsid w:val="00C83699"/>
    <w:rsid w:val="00CA0AC2"/>
    <w:rsid w:val="00CA15BE"/>
    <w:rsid w:val="00CB4D0A"/>
    <w:rsid w:val="00CB54BD"/>
    <w:rsid w:val="00CC2FB3"/>
    <w:rsid w:val="00CC313E"/>
    <w:rsid w:val="00CC575A"/>
    <w:rsid w:val="00CC6B92"/>
    <w:rsid w:val="00CD22A1"/>
    <w:rsid w:val="00CD79A7"/>
    <w:rsid w:val="00CF123B"/>
    <w:rsid w:val="00D039AC"/>
    <w:rsid w:val="00D30405"/>
    <w:rsid w:val="00D427DE"/>
    <w:rsid w:val="00D5587D"/>
    <w:rsid w:val="00D707CC"/>
    <w:rsid w:val="00D72366"/>
    <w:rsid w:val="00D75F3F"/>
    <w:rsid w:val="00D821FE"/>
    <w:rsid w:val="00D9163D"/>
    <w:rsid w:val="00D92F17"/>
    <w:rsid w:val="00DB0793"/>
    <w:rsid w:val="00DB30F6"/>
    <w:rsid w:val="00DE007C"/>
    <w:rsid w:val="00E00821"/>
    <w:rsid w:val="00E04DB4"/>
    <w:rsid w:val="00E10C70"/>
    <w:rsid w:val="00E30679"/>
    <w:rsid w:val="00E4597D"/>
    <w:rsid w:val="00E54832"/>
    <w:rsid w:val="00E56A90"/>
    <w:rsid w:val="00E641CC"/>
    <w:rsid w:val="00E7589E"/>
    <w:rsid w:val="00E8348C"/>
    <w:rsid w:val="00EA30AB"/>
    <w:rsid w:val="00EB3925"/>
    <w:rsid w:val="00EE114F"/>
    <w:rsid w:val="00F0425D"/>
    <w:rsid w:val="00F40FED"/>
    <w:rsid w:val="00F54BC6"/>
    <w:rsid w:val="00F70DC5"/>
    <w:rsid w:val="00F96EB3"/>
    <w:rsid w:val="00FE45E2"/>
    <w:rsid w:val="00FF5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BF7AF1"/>
  <w15:docId w15:val="{68525F90-625B-45F5-9D91-07377EA6E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11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cholarship.law.stjohns.edu/cg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EDF4D-76D7-477B-B8F6-D0880091A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1699</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Philip Nyamori</cp:lastModifiedBy>
  <cp:revision>4</cp:revision>
  <cp:lastPrinted>2018-09-04T13:57:00Z</cp:lastPrinted>
  <dcterms:created xsi:type="dcterms:W3CDTF">2018-09-04T14:36:00Z</dcterms:created>
  <dcterms:modified xsi:type="dcterms:W3CDTF">2018-09-06T17:20:00Z</dcterms:modified>
</cp:coreProperties>
</file>