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keepLines w:val="1"/>
      </w:pPr>
      <w:r>
        <w:rPr>
          <w:rtl w:val="0"/>
          <w:lang w:val="en-US"/>
        </w:rPr>
        <w:t xml:space="preserve">                                                                  </w:t>
      </w:r>
    </w:p>
    <w:p>
      <w:pPr>
        <w:pStyle w:val="Body"/>
        <w:keepLines w:val="1"/>
      </w:pPr>
    </w:p>
    <w:p>
      <w:pPr>
        <w:pStyle w:val="Body"/>
        <w:keepLines w:val="1"/>
        <w:rPr>
          <w:lang w:val="en-US"/>
        </w:rPr>
      </w:pPr>
    </w:p>
    <w:p>
      <w:pPr>
        <w:pStyle w:val="Body"/>
        <w:keepLines w:val="1"/>
        <w:rPr>
          <w:lang w:val="en-US"/>
        </w:rPr>
      </w:pPr>
    </w:p>
    <w:p>
      <w:pPr>
        <w:pStyle w:val="Body"/>
        <w:keepLines w:val="1"/>
        <w:rPr>
          <w:lang w:val="en-US"/>
        </w:rPr>
      </w:pPr>
    </w:p>
    <w:p>
      <w:pPr>
        <w:pStyle w:val="Body"/>
        <w:keepLines w:val="1"/>
        <w:widowControl w:val="0"/>
        <w:spacing w:line="240" w:lineRule="auto"/>
        <w:rPr>
          <w:lang w:val="en-US"/>
        </w:rPr>
      </w:pPr>
    </w:p>
    <w:p>
      <w:pPr>
        <w:pStyle w:val="Body"/>
        <w:keepLines w:val="1"/>
        <w:rPr>
          <w:b w:val="1"/>
          <w:bCs w:val="1"/>
          <w:lang w:val="en-US"/>
        </w:rPr>
      </w:pPr>
    </w:p>
    <w:p>
      <w:pPr>
        <w:pStyle w:val="Body"/>
        <w:keepLines w:val="1"/>
        <w:rPr>
          <w:b w:val="1"/>
          <w:bCs w:val="1"/>
          <w:sz w:val="28"/>
          <w:szCs w:val="28"/>
        </w:rPr>
      </w:pPr>
      <w:r>
        <w:rPr>
          <w:b w:val="1"/>
          <w:bCs w:val="1"/>
          <w:sz w:val="28"/>
          <w:szCs w:val="28"/>
          <w:rtl w:val="0"/>
          <w:lang w:val="en-US"/>
        </w:rPr>
        <w:t>Marking Criteria:</w:t>
      </w:r>
    </w:p>
    <w:p>
      <w:pPr>
        <w:pStyle w:val="Body"/>
        <w:keepLines w:val="1"/>
      </w:pPr>
      <w:r>
        <w:rPr>
          <w:b w:val="1"/>
          <w:bCs w:val="1"/>
          <w:rtl w:val="0"/>
          <w:lang w:val="en-US"/>
        </w:rPr>
        <w:t xml:space="preserve"> </w:t>
      </w:r>
      <w:r>
        <w:rPr>
          <w:rtl w:val="0"/>
          <w:lang w:val="en-US"/>
        </w:rPr>
        <w:t>We expect the learners to write minimum one well expressed point in three lines against each allocated mark. This means one needs to write 15 l</w:t>
      </w:r>
      <w:r>
        <w:drawing>
          <wp:anchor distT="0" distB="0" distL="0" distR="0" simplePos="0" relativeHeight="251659264" behindDoc="0" locked="0" layoutInCell="1" allowOverlap="1">
            <wp:simplePos x="0" y="0"/>
            <wp:positionH relativeFrom="page">
              <wp:posOffset>577849</wp:posOffset>
            </wp:positionH>
            <wp:positionV relativeFrom="page">
              <wp:posOffset>619125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mc:AlternateContent>
          <mc:Choice Requires="wpg">
            <w:drawing>
              <wp:anchor distT="0" distB="0" distL="0" distR="0" simplePos="0" relativeHeight="251660288" behindDoc="0" locked="0" layoutInCell="1" allowOverlap="1">
                <wp:simplePos x="0" y="0"/>
                <wp:positionH relativeFrom="page">
                  <wp:posOffset>3804284</wp:posOffset>
                </wp:positionH>
                <wp:positionV relativeFrom="page">
                  <wp:posOffset>1344294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99.5pt;margin-top:105.8pt;width:245.2pt;height:36.8pt;z-index:251660288;mso-position-horizontal:absolute;mso-position-horizontal-relative:page;mso-position-vertical:absolute;mso-position-vertical-relative:page;mso-wrap-distance-left:0.0pt;mso-wrap-distance-top:0.0pt;mso-wrap-distance-right:0.0pt;mso-wrap-distance-bottom:0.0pt;" coordorigin="0,0" coordsize="3114040,466725">
                <w10:wrap type="none" side="bothSides" anchorx="page" anchory="page"/>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r>
        <mc:AlternateContent>
          <mc:Choice Requires="wps">
            <w:drawing>
              <wp:anchor distT="0" distB="0" distL="0" distR="0" simplePos="0" relativeHeight="251666432" behindDoc="0" locked="0" layoutInCell="1" allowOverlap="1">
                <wp:simplePos x="0" y="0"/>
                <wp:positionH relativeFrom="page">
                  <wp:posOffset>917575</wp:posOffset>
                </wp:positionH>
                <wp:positionV relativeFrom="page">
                  <wp:posOffset>8957944</wp:posOffset>
                </wp:positionV>
                <wp:extent cx="5584230" cy="266700"/>
                <wp:effectExtent l="0" t="0" r="0" b="0"/>
                <wp:wrapTopAndBottom distT="0" distB="0"/>
                <wp:docPr id="1073741829" name="officeArt object"/>
                <wp:cNvGraphicFramePr/>
                <a:graphic xmlns:a="http://schemas.openxmlformats.org/drawingml/2006/main">
                  <a:graphicData uri="http://schemas.microsoft.com/office/word/2010/wordprocessingShape">
                    <wps:wsp>
                      <wps:cNvSpPr/>
                      <wps:spPr>
                        <a:xfrm>
                          <a:off x="0" y="0"/>
                          <a:ext cx="5584230" cy="266700"/>
                        </a:xfrm>
                        <a:prstGeom prst="rect">
                          <a:avLst/>
                        </a:prstGeom>
                      </wps:spPr>
                      <wps:txb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52"/>
                              <w:gridCol w:w="3933"/>
                              <w:gridCol w:w="1244"/>
                              <w:gridCol w:w="1580"/>
                            </w:tblGrid>
                            <w:tr>
                              <w:tblPrEx>
                                <w:shd w:val="clear" w:color="auto" w:fill="ced7e7"/>
                              </w:tblPrEx>
                              <w:trPr>
                                <w:trHeight w:val="250" w:hRule="atLeast"/>
                              </w:trPr>
                              <w:tc>
                                <w:tcPr>
                                  <w:tcW w:type="dxa" w:w="2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3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Daniel Bradnam</w:t>
                                  </w:r>
                                </w:p>
                              </w:tc>
                              <w:tc>
                                <w:tcPr>
                                  <w:tcW w:type="dxa" w:w="12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21/3/17</w:t>
                                  </w:r>
                                </w:p>
                              </w:tc>
                            </w:tr>
                          </w:tbl>
                        </w:txbxContent>
                      </wps:txbx>
                      <wps:bodyPr lIns="0" tIns="0" rIns="0" bIns="0">
                        <a:spAutoFit/>
                      </wps:bodyPr>
                    </wps:wsp>
                  </a:graphicData>
                </a:graphic>
              </wp:anchor>
            </w:drawing>
          </mc:Choice>
          <mc:Fallback>
            <w:pict>
              <v:shape id="_x0000_s1029" type="#_x0000_t202" style="visibility:visible;position:absolute;margin-left:72.2pt;margin-top:705.3pt;width:439.7pt;height:21.0pt;z-index:251666432;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52"/>
                        <w:gridCol w:w="3933"/>
                        <w:gridCol w:w="1244"/>
                        <w:gridCol w:w="1580"/>
                      </w:tblGrid>
                      <w:tr>
                        <w:tblPrEx>
                          <w:shd w:val="clear" w:color="auto" w:fill="ced7e7"/>
                        </w:tblPrEx>
                        <w:trPr>
                          <w:trHeight w:val="250" w:hRule="atLeast"/>
                        </w:trPr>
                        <w:tc>
                          <w:tcPr>
                            <w:tcW w:type="dxa" w:w="22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393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Daniel Bradnam</w:t>
                            </w:r>
                          </w:p>
                        </w:tc>
                        <w:tc>
                          <w:tcPr>
                            <w:tcW w:type="dxa" w:w="12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5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21/3/17</w:t>
                            </w:r>
                          </w:p>
                        </w:tc>
                      </w:tr>
                    </w:tbl>
                  </w:txbxContent>
                </v:textbox>
                <w10:wrap type="topAndBottom" side="bothSides" anchorx="page" anchory="page"/>
              </v:shape>
            </w:pict>
          </mc:Fallback>
        </mc:AlternateContent>
      </w:r>
      <w:r>
        <mc:AlternateContent>
          <mc:Choice Requires="wps">
            <w:drawing>
              <wp:anchor distT="0" distB="0" distL="0" distR="0" simplePos="0" relativeHeight="251667456" behindDoc="0" locked="0" layoutInCell="1" allowOverlap="1">
                <wp:simplePos x="0" y="0"/>
                <wp:positionH relativeFrom="page">
                  <wp:posOffset>917575</wp:posOffset>
                </wp:positionH>
                <wp:positionV relativeFrom="page">
                  <wp:posOffset>5211445</wp:posOffset>
                </wp:positionV>
                <wp:extent cx="5584230" cy="2425700"/>
                <wp:effectExtent l="0" t="0" r="0" b="0"/>
                <wp:wrapTopAndBottom distT="0" distB="0"/>
                <wp:docPr id="1073741830" name="officeArt object"/>
                <wp:cNvGraphicFramePr/>
                <a:graphic xmlns:a="http://schemas.openxmlformats.org/drawingml/2006/main">
                  <a:graphicData uri="http://schemas.microsoft.com/office/word/2010/wordprocessingShape">
                    <wps:wsp>
                      <wps:cNvSpPr/>
                      <wps:spPr>
                        <a:xfrm>
                          <a:off x="0" y="0"/>
                          <a:ext cx="5584230" cy="2425700"/>
                        </a:xfrm>
                        <a:prstGeom prst="rect">
                          <a:avLst/>
                        </a:prstGeom>
                      </wps:spPr>
                      <wps:txb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9"/>
                            </w:tblGrid>
                            <w:tr>
                              <w:tblPrEx>
                                <w:shd w:val="clear" w:color="auto" w:fill="ced7e7"/>
                              </w:tblPrEx>
                              <w:trPr>
                                <w:trHeight w:val="3650" w:hRule="atLeast"/>
                              </w:trPr>
                              <w:tc>
                                <w:tcPr>
                                  <w:tcW w:type="dxa" w:w="90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lang w:val="en-US"/>
                                    </w:rPr>
                                  </w:pPr>
                                </w:p>
                                <w:p>
                                  <w:pPr>
                                    <w:pStyle w:val="Body"/>
                                    <w:spacing w:after="0" w:line="240" w:lineRule="auto"/>
                                    <w:rPr>
                                      <w:rFonts w:ascii="Arial" w:cs="Arial" w:hAnsi="Arial" w:eastAsia="Arial"/>
                                      <w:sz w:val="24"/>
                                      <w:szCs w:val="24"/>
                                      <w:lang w:val="en-US"/>
                                    </w:rPr>
                                  </w:pPr>
                                  <w:r>
                                    <w:rPr>
                                      <w:rFonts w:ascii="Arial" w:hAnsi="Arial"/>
                                      <w:sz w:val="24"/>
                                      <w:szCs w:val="24"/>
                                      <w:rtl w:val="0"/>
                                      <w:lang w:val="en-US"/>
                                    </w:rPr>
                                    <w:t xml:space="preserve">Please see attached 5 pages </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txbxContent>
                      </wps:txbx>
                      <wps:bodyPr lIns="0" tIns="0" rIns="0" bIns="0">
                        <a:spAutoFit/>
                      </wps:bodyPr>
                    </wps:wsp>
                  </a:graphicData>
                </a:graphic>
              </wp:anchor>
            </w:drawing>
          </mc:Choice>
          <mc:Fallback>
            <w:pict>
              <v:shape id="_x0000_s1030" type="#_x0000_t202" style="visibility:visible;position:absolute;margin-left:72.2pt;margin-top:410.4pt;width:439.7pt;height:191.0pt;z-index:251667456;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009"/>
                      </w:tblGrid>
                      <w:tr>
                        <w:tblPrEx>
                          <w:shd w:val="clear" w:color="auto" w:fill="ced7e7"/>
                        </w:tblPrEx>
                        <w:trPr>
                          <w:trHeight w:val="3650" w:hRule="atLeast"/>
                        </w:trPr>
                        <w:tc>
                          <w:tcPr>
                            <w:tcW w:type="dxa" w:w="90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lang w:val="en-US"/>
                              </w:rPr>
                            </w:pPr>
                          </w:p>
                          <w:p>
                            <w:pPr>
                              <w:pStyle w:val="Body"/>
                              <w:spacing w:after="0" w:line="240" w:lineRule="auto"/>
                              <w:rPr>
                                <w:rFonts w:ascii="Arial" w:cs="Arial" w:hAnsi="Arial" w:eastAsia="Arial"/>
                                <w:sz w:val="24"/>
                                <w:szCs w:val="24"/>
                                <w:lang w:val="en-US"/>
                              </w:rPr>
                            </w:pPr>
                            <w:r>
                              <w:rPr>
                                <w:rFonts w:ascii="Arial" w:hAnsi="Arial"/>
                                <w:sz w:val="24"/>
                                <w:szCs w:val="24"/>
                                <w:rtl w:val="0"/>
                                <w:lang w:val="en-US"/>
                              </w:rPr>
                              <w:t xml:space="preserve">Please see attached 5 pages </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txbxContent>
                </v:textbox>
                <w10:wrap type="topAndBottom" side="bothSides" anchorx="page" anchory="page"/>
              </v:shape>
            </w:pict>
          </mc:Fallback>
        </mc:AlternateContent>
      </w:r>
      <w:r>
        <mc:AlternateContent>
          <mc:Choice Requires="wps">
            <w:drawing>
              <wp:anchor distT="0" distB="0" distL="0" distR="0" simplePos="0" relativeHeight="251668480" behindDoc="0" locked="0" layoutInCell="1" allowOverlap="1">
                <wp:simplePos x="0" y="0"/>
                <wp:positionH relativeFrom="page">
                  <wp:posOffset>917575</wp:posOffset>
                </wp:positionH>
                <wp:positionV relativeFrom="page">
                  <wp:posOffset>2317114</wp:posOffset>
                </wp:positionV>
                <wp:extent cx="5584230" cy="1123950"/>
                <wp:effectExtent l="0" t="0" r="0" b="0"/>
                <wp:wrapTopAndBottom distT="0" distB="0"/>
                <wp:docPr id="1073741831" name="officeArt object"/>
                <wp:cNvGraphicFramePr/>
                <a:graphic xmlns:a="http://schemas.openxmlformats.org/drawingml/2006/main">
                  <a:graphicData uri="http://schemas.microsoft.com/office/word/2010/wordprocessingShape">
                    <wps:wsp>
                      <wps:cNvSpPr/>
                      <wps:spPr>
                        <a:xfrm>
                          <a:off x="0" y="0"/>
                          <a:ext cx="5584230" cy="1123950"/>
                        </a:xfrm>
                        <a:prstGeom prst="rect">
                          <a:avLst/>
                        </a:prstGeom>
                      </wps:spPr>
                      <wps:txb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8"/>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Daniel Bradnam</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5325</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Construction management Diploma level 4</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5</w:t>
                                  </w:r>
                                </w:p>
                              </w:tc>
                            </w:tr>
                          </w:tbl>
                        </w:txbxContent>
                      </wps:txbx>
                      <wps:bodyPr lIns="0" tIns="0" rIns="0" bIns="0">
                        <a:spAutoFit/>
                      </wps:bodyPr>
                    </wps:wsp>
                  </a:graphicData>
                </a:graphic>
              </wp:anchor>
            </w:drawing>
          </mc:Choice>
          <mc:Fallback>
            <w:pict>
              <v:shape id="_x0000_s1031" type="#_x0000_t202" style="visibility:visible;position:absolute;margin-left:72.2pt;margin-top:182.4pt;width:439.7pt;height:88.5pt;z-index:251668480;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009" w:type="dxa"/>
                        <w:tblInd w:w="5"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8"/>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Daniel Bradnam</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5325</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Construction management Diploma level 4</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5</w:t>
                            </w:r>
                          </w:p>
                        </w:tc>
                      </w:tr>
                    </w:tbl>
                  </w:txbxContent>
                </v:textbox>
                <w10:wrap type="topAndBottom" side="bothSides" anchorx="page" anchory="page"/>
              </v:shape>
            </w:pict>
          </mc:Fallback>
        </mc:AlternateContent>
      </w:r>
      <w:r>
        <w:rPr>
          <w:rtl w:val="0"/>
          <w:lang w:val="en-US"/>
        </w:rPr>
        <w:t>ines with 5 well expressed points to get high grades for a 5 marks question.</w:t>
      </w:r>
    </w:p>
    <w:p>
      <w:pPr>
        <w:pStyle w:val="Body"/>
        <w:keepLines w:val="1"/>
      </w:pPr>
      <w:r>
        <w:rPr>
          <w:rtl w:val="0"/>
          <w:lang w:val="en-US"/>
        </w:rPr>
        <w:t xml:space="preserve">For high grades use examples and illustrations where appropriate. </w:t>
      </w:r>
    </w:p>
    <w:p>
      <w:pPr>
        <w:pStyle w:val="Body"/>
        <w:keepLines w:val="1"/>
        <w:widowControl w:val="0"/>
        <w:spacing w:line="240" w:lineRule="auto"/>
      </w:pPr>
    </w:p>
    <w:p>
      <w:pPr>
        <w:pStyle w:val="Body"/>
        <w:keepLines w:val="1"/>
        <w:spacing w:after="0" w:line="240" w:lineRule="auto"/>
        <w:rPr>
          <w:b w:val="1"/>
          <w:bCs w:val="1"/>
          <w:color w:val="002060"/>
          <w:sz w:val="28"/>
          <w:szCs w:val="28"/>
          <w:u w:color="002060"/>
          <w:lang w:val="en-US"/>
        </w:rPr>
      </w:pPr>
    </w:p>
    <w:p>
      <w:pPr>
        <w:pStyle w:val="Body"/>
        <w:keepLines w:val="1"/>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keepLines w:val="1"/>
        <w:spacing w:after="0" w:line="240" w:lineRule="auto"/>
        <w:rPr>
          <w:b w:val="1"/>
          <w:bCs w:val="1"/>
          <w:color w:val="001ae6"/>
          <w:u w:color="001ae6"/>
          <w:lang w:val="en-US"/>
        </w:rPr>
      </w:pPr>
    </w:p>
    <w:p>
      <w:pPr>
        <w:pStyle w:val="Body"/>
        <w:keepLines w:val="1"/>
        <w:spacing w:after="0" w:line="240" w:lineRule="auto"/>
        <w:rPr>
          <w:color w:val="000000"/>
          <w:u w:color="000000"/>
        </w:rPr>
      </w:pPr>
      <w:r>
        <w:rPr>
          <w:color w:val="000000"/>
          <w:u w:color="000000"/>
          <w:rtl w:val="0"/>
          <w:lang w:val="en-US"/>
        </w:rPr>
        <w:t>By submitting this assignment, I confirm that this is my own work.</w:t>
      </w:r>
    </w:p>
    <w:p>
      <w:pPr>
        <w:pStyle w:val="Body"/>
        <w:keepLines w:val="1"/>
        <w:spacing w:after="0" w:line="240" w:lineRule="auto"/>
        <w:rPr>
          <w:color w:val="000000"/>
          <w:u w:color="000000"/>
          <w:lang w:val="en-US"/>
        </w:rPr>
      </w:pPr>
    </w:p>
    <w:p>
      <w:pPr>
        <w:pStyle w:val="Body"/>
        <w:keepLines w:val="1"/>
        <w:spacing w:after="0" w:line="240" w:lineRule="auto"/>
        <w:rPr>
          <w:color w:val="000000"/>
          <w:u w:color="000000"/>
          <w:lang w:val="en-US"/>
        </w:rPr>
      </w:pPr>
    </w:p>
    <w:p>
      <w:pPr>
        <w:pStyle w:val="Body"/>
        <w:keepLines w:val="1"/>
        <w:spacing w:after="0" w:line="240" w:lineRule="auto"/>
        <w:rPr>
          <w:color w:val="000000"/>
          <w:u w:color="000000"/>
          <w:lang w:val="en-US"/>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1.i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Site Organisation is the over-arching name given to a broad spectrum of activities and systems that are put into place and carried out before, after and during construction. Site organisation begins with a site plan/layout and will show the location of facilities, equipment and storage areas within the site. The site layout needs to be logical, orderly and practical. Effective and accurate site organisation helps ensure that works will be undertaken efficiently, economically and safely and plays major role in determining the success of a construction project. A site layout will be arranged with the direct input of the health and safety executive to ensure that all solutions and outcomes of the site plan meet current regulations.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Once the facilities needed on site have been determined the size of facilities required will need to be ascertained and any constraints that entail these facilities need to be accounted for within the design, and workable solutions presented to overcome the constraints. If facilities are inter linked in their uses then close proximity of these facilities to each other, should be achieved to optimise the layout of the site where possible. Making maximum use and optimising the site layout will give the construction task in hand the best initial chance of succeeding on time, within budget an</w:t>
      </w:r>
      <w:r>
        <mc:AlternateContent>
          <mc:Choice Requires="wps">
            <w:drawing>
              <wp:anchor distT="152400" distB="152400" distL="152400" distR="152400" simplePos="0" relativeHeight="251661312" behindDoc="0" locked="0" layoutInCell="1" allowOverlap="1">
                <wp:simplePos x="0" y="0"/>
                <wp:positionH relativeFrom="page">
                  <wp:posOffset>4331136</wp:posOffset>
                </wp:positionH>
                <wp:positionV relativeFrom="page">
                  <wp:posOffset>490239</wp:posOffset>
                </wp:positionV>
                <wp:extent cx="2310964" cy="848321"/>
                <wp:effectExtent l="0" t="0" r="0" b="0"/>
                <wp:wrapNone/>
                <wp:docPr id="1073741832"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1 of 5</w:t>
                            </w:r>
                          </w:p>
                        </w:txbxContent>
                      </wps:txbx>
                      <wps:bodyPr wrap="square" lIns="45719" tIns="45719" rIns="45719" bIns="45719" numCol="1" anchor="t">
                        <a:noAutofit/>
                      </wps:bodyPr>
                    </wps:wsp>
                  </a:graphicData>
                </a:graphic>
              </wp:anchor>
            </w:drawing>
          </mc:Choice>
          <mc:Fallback>
            <w:pict>
              <v:rect id="_x0000_s1032" style="visibility:visible;position:absolute;margin-left:341.0pt;margin-top:38.6pt;width:182.0pt;height:66.8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1 of 5</w:t>
                      </w:r>
                    </w:p>
                  </w:txbxContent>
                </v:textbox>
                <w10:wrap type="none" side="bothSides" anchorx="page" anchory="page"/>
              </v:rect>
            </w:pict>
          </mc:Fallback>
        </mc:AlternateContent>
      </w:r>
      <w:r>
        <w:rPr>
          <w:rFonts w:ascii="Arial" w:cs="Arial" w:hAnsi="Arial" w:eastAsia="Arial"/>
          <w:sz w:val="24"/>
          <w:szCs w:val="24"/>
          <w:rtl w:val="0"/>
          <w:lang w:val="en-US"/>
        </w:rPr>
        <w:t xml:space="preserve">d in a safe and effective manner.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Things to consider when designing the site layout are:</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Site accommodation</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Site offices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Access and egress to the site and the road system within</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 xml:space="preserve">Site security </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Equipment storage areas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Crane locations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On site concrete facilities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 xml:space="preserve">All temporary service utilities (electricity, water, drainage etc) </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 xml:space="preserve">Material storage </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Lighting arrangement</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Load/Offload areas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Signage</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Site fencing</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Car parking</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Pedestrian routes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Welfare facilities and Restrooms</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The site layout is produced before construction begins and is in essence the plan of action for construction commencement. Once construction begins, it is the duty of all personnel on site to adhere to the site layout and is overseen by site foremen and site security. There does not need to be just one site layout drawn up at the beginning of construction and then never amended. There can be several site layouts that come into effect when construction reaches certain levels of completion. However the more times a site layout has to be re arranged, more cost will be incurred in the process of moving in time and money.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ii.</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Preparing roads and routes on the site to take the loads and stresses of heavy machinery is a vitally important task. Depending on the type of traffic and the frequency upon which the road will be trafficked, depends on the level of road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preparation that is required. If a road is not suitably prepared the equipment can become bogged in and damaged and frequent trafficking can cause the road to become unpassable for anything but heavy machinery, leaving the site unsuitable to traffic. This can cause delay in site deliveries and can even make moving materials around site during the build process extremely difficult if not impossible causing the work to slow or come to a halt. </w:t>
      </w: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Road preparation will begin the moment the site is cleared of debris. Sub grade stabilisation will be performed and the roads will be shored to prevent weathering and collapse. On site traffic will usually use rough roads so wheres on-offsite traffic will usually use water-bound or tarmac laid road surfaces. In prepping a road for heavy machinery use sub surface drainage can be installed to help with the fast drainage of rainfall to prevent the road from becoming a bog. The same preparation for rain must be made in both hot and cold climates as although the rainfall may be small in some areas of the world, when it does occur an unprepared surface will quickly deteriorate. Once a road has been prepared to take the loads of heavy machinery it needs to be continually maintained in regards to filling in potholes or shoring up parts of the road which are beginning to degrade through use.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If a sites roads are not prepared before construction begins it will led to an increase in costs during the build through time lost as the site will not be able to continue until the roads have been suitably r</w:t>
      </w:r>
      <w:r>
        <mc:AlternateContent>
          <mc:Choice Requires="wps">
            <w:drawing>
              <wp:anchor distT="152400" distB="152400" distL="152400" distR="152400" simplePos="0" relativeHeight="251662336" behindDoc="0" locked="0" layoutInCell="1" allowOverlap="1">
                <wp:simplePos x="0" y="0"/>
                <wp:positionH relativeFrom="page">
                  <wp:posOffset>4331136</wp:posOffset>
                </wp:positionH>
                <wp:positionV relativeFrom="page">
                  <wp:posOffset>490239</wp:posOffset>
                </wp:positionV>
                <wp:extent cx="2310964" cy="848321"/>
                <wp:effectExtent l="0" t="0" r="0" b="0"/>
                <wp:wrapNone/>
                <wp:docPr id="1073741833"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2 of 5</w:t>
                            </w:r>
                          </w:p>
                        </w:txbxContent>
                      </wps:txbx>
                      <wps:bodyPr wrap="square" lIns="45719" tIns="45719" rIns="45719" bIns="45719" numCol="1" anchor="t">
                        <a:noAutofit/>
                      </wps:bodyPr>
                    </wps:wsp>
                  </a:graphicData>
                </a:graphic>
              </wp:anchor>
            </w:drawing>
          </mc:Choice>
          <mc:Fallback>
            <w:pict>
              <v:rect id="_x0000_s1033" style="visibility:visible;position:absolute;margin-left:341.0pt;margin-top:38.6pt;width:182.0pt;height:66.8pt;z-index:25166233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2 of 5</w:t>
                      </w:r>
                    </w:p>
                  </w:txbxContent>
                </v:textbox>
                <w10:wrap type="none" side="bothSides" anchorx="page" anchory="page"/>
              </v:rect>
            </w:pict>
          </mc:Fallback>
        </mc:AlternateContent>
      </w:r>
      <w:r>
        <w:rPr>
          <w:rFonts w:ascii="Arial" w:cs="Arial" w:hAnsi="Arial" w:eastAsia="Arial"/>
          <w:sz w:val="24"/>
          <w:szCs w:val="24"/>
          <w:rtl w:val="0"/>
          <w:lang w:val="en-US"/>
        </w:rPr>
        <w:t>epaired and prepped. Once a road has become unusable it may take a lengthy period of time to repair if the weather that caused the problems continues as this is a job that cannot be achieved whilst the problem gets worse. It should be accepted that spending money at the start of the project to construct adequate roadways is  unavoidable and is a smaller expenditure than remedying a site once it has become unsuitable for use.</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iii.</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Precautions that should be taken when storing cement on site are as follows:</w:t>
      </w:r>
    </w:p>
    <w:p>
      <w:pPr>
        <w:pStyle w:val="Body"/>
        <w:bidi w:val="0"/>
        <w:spacing w:after="0" w:line="240" w:lineRule="auto"/>
        <w:ind w:left="0" w:right="0" w:firstLine="0"/>
        <w:jc w:val="left"/>
        <w:rPr>
          <w:rFonts w:ascii="Arial" w:cs="Arial" w:hAnsi="Arial" w:eastAsia="Arial"/>
          <w:sz w:val="24"/>
          <w:szCs w:val="24"/>
          <w:rtl w:val="0"/>
        </w:rPr>
      </w:pP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Cement should be stored in a dry and moisture free building with adequate ventilation to prevent damp occurring.</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Cement should be stacked on wooden planks/pallets at least 150-200mm off the floor and at least between walls.</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 xml:space="preserve">Stacks should be packed tightly to reduce the circulation of air. </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Stacks should be a maximum of 4 in width and 15 bags high to avoid lumping under pressure.</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Cement should not be stored for a long period of time where possible and when removed from storage for use the older bags should be used first.</w:t>
      </w:r>
    </w:p>
    <w:p>
      <w:pPr>
        <w:pStyle w:val="Body"/>
        <w:numPr>
          <w:ilvl w:val="0"/>
          <w:numId w:val="1"/>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When cement is to be stored it should be covered in a waterproof polyethylene sheet such as a tarpaulin.</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iv.</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Steel should be stored in a dry and level environment to prevent distortion and corrosion. Steel should be coated with a cement wash before stacking to prevent scaling and rusting. Different sizes and strengths of steel should be stored separately for ease of identification and this can be aided with adequate sign work and visual representations such as the ends being painted in different colours to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denote different steels. Steel shored be stored at least 150mm above the ground. Oxidisation of steel occurs when moisture and oxygen are present and will not occur if one or the other is missing so therefore storage in a dry area is of the highest importance. If a dry area for storage is not possible then protective paints can be applied to form a protective barrier around the steel. Steel can also go through a process known as hot-dip galvanising which coats the steel in a layer of zinc to give another layer of protection.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v.</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Exit control helps in site protection by preventing access and exit to the site to people there than people cleared for work within the site. By installing a physical barrier such as a road block barrier and having a manned security presence it will reduce the risk of theft, sabotage or vandalism. By having exit control it allows for vehicles and personnel to be searched and have manifests/passes checked before the vehicle has left or entered the site. Light barriers can be used when the threat of theft/vandalism is low and heavy barriers should be considered when the threat is high. Having a traffic light system upon entering and exiting the site will also make for a safer egress and exit when merging back onto a main road or into site traffic in the site complex.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2.</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Providing site fences has several advantages in construction. The prior most need is for site safety. It is UK law that business must be conducted without putting the public at risk. Site fencing serves the purpose of marking out construction sites boundaries and preventing the public from wandering onto site, whethe</w:t>
      </w:r>
      <w:r>
        <mc:AlternateContent>
          <mc:Choice Requires="wps">
            <w:drawing>
              <wp:anchor distT="152400" distB="152400" distL="152400" distR="152400" simplePos="0" relativeHeight="251663360" behindDoc="0" locked="0" layoutInCell="1" allowOverlap="1">
                <wp:simplePos x="0" y="0"/>
                <wp:positionH relativeFrom="page">
                  <wp:posOffset>4331136</wp:posOffset>
                </wp:positionH>
                <wp:positionV relativeFrom="page">
                  <wp:posOffset>490239</wp:posOffset>
                </wp:positionV>
                <wp:extent cx="2310964" cy="848321"/>
                <wp:effectExtent l="0" t="0" r="0" b="0"/>
                <wp:wrapNone/>
                <wp:docPr id="1073741834"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3 of 5</w:t>
                            </w:r>
                          </w:p>
                        </w:txbxContent>
                      </wps:txbx>
                      <wps:bodyPr wrap="square" lIns="45719" tIns="45719" rIns="45719" bIns="45719" numCol="1" anchor="t">
                        <a:noAutofit/>
                      </wps:bodyPr>
                    </wps:wsp>
                  </a:graphicData>
                </a:graphic>
              </wp:anchor>
            </w:drawing>
          </mc:Choice>
          <mc:Fallback>
            <w:pict>
              <v:rect id="_x0000_s1034" style="visibility:visible;position:absolute;margin-left:341.0pt;margin-top:38.6pt;width:182.0pt;height:66.8pt;z-index:25166336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3 of 5</w:t>
                      </w:r>
                    </w:p>
                  </w:txbxContent>
                </v:textbox>
                <w10:wrap type="none" side="bothSides" anchorx="page" anchory="page"/>
              </v:rect>
            </w:pict>
          </mc:Fallback>
        </mc:AlternateContent>
      </w:r>
      <w:r>
        <w:rPr>
          <w:rFonts w:ascii="Arial" w:cs="Arial" w:hAnsi="Arial" w:eastAsia="Arial"/>
          <w:sz w:val="24"/>
          <w:szCs w:val="24"/>
          <w:rtl w:val="0"/>
          <w:lang w:val="en-US"/>
        </w:rPr>
        <w:t xml:space="preserve">r this be children playing on sites to dog walkers or even deliberate trespassers. Without adequate site fencing marking out the boundary and serving as a physical barrier it allows for unfortunate circumstances to arise where a member of the public could get hurt or worse and this then leaves the company open to a public/private lawsuit. As well as keeping the public out it also serves as a barrier to stop site workers and machinery from straying into areas that are not under the control of the site, such as neighbouring property.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Site fencing is an effective security measure and there is various types of fencing to provide different levels of security. Temporary site fencing can be chain link which is most common, it is 2.4 metres high and built with 50mm spaces between strands to deny an adequate foothold for climbing. Barbed wire and anti-climb paint can be added to the tops of fences in extreme circumstance. Burr bolts can be used or bolts welded in place for long term construction sites to prevent unwanted dismantling Site fencing can also be constructed from concrete, wood or metal. Site fencing prevents theft as it denies access by vehicles that could be loaded up with tools/stores. Access to individuals on foot can be hampered but if not denied it prevents large scale thefts.</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Having site fencing allows control of the access and egress point as it controls where vehicles and personnel can access the site allowing for checks to be carried out.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Use of site fencing is not restricted to just external boundaries and can be used to separate internal zones and mark out storage areas. Hazardous areas such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 xml:space="preserve">as excavations can be marked using fences to provide a physical barrier between personnel and the hazard. These fences can also be used as safety barriers between stacks of materials and pedestrian traffic. Signage can be attached to fences to guide personnel whether in direction or in warning.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3.</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The provision of site electricity differs from that of building electricity as it is classed as a temporary supply. This is because as the construction project proceeds the supply will need to be moved and altered to meet demand. As a higher level of danger comes with temporary installations the use of 110v equipment is used to lower the chances of a harmful shock being administered. 110v equipment should be RCD protected and checked prior to each use. The main issue with construction site electricity supply is the unprotected nature and exposure to the outdoor environment that make them potential hazards. A source of electricity outdoors for instance could be located where water pools after rainfall and then create the hazard of a user standing in water whilst dealing with a live supply. These conditions should be taken into account when siting the supply and any negative affects shou</w:t>
      </w:r>
      <w:r>
        <mc:AlternateContent>
          <mc:Choice Requires="wps">
            <w:drawing>
              <wp:anchor distT="152400" distB="152400" distL="152400" distR="152400" simplePos="0" relativeHeight="251664384" behindDoc="0" locked="0" layoutInCell="1" allowOverlap="1">
                <wp:simplePos x="0" y="0"/>
                <wp:positionH relativeFrom="page">
                  <wp:posOffset>4331136</wp:posOffset>
                </wp:positionH>
                <wp:positionV relativeFrom="page">
                  <wp:posOffset>490239</wp:posOffset>
                </wp:positionV>
                <wp:extent cx="2310964" cy="848321"/>
                <wp:effectExtent l="0" t="0" r="0" b="0"/>
                <wp:wrapNone/>
                <wp:docPr id="1073741835"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4 of 5</w:t>
                            </w:r>
                          </w:p>
                        </w:txbxContent>
                      </wps:txbx>
                      <wps:bodyPr wrap="square" lIns="45719" tIns="45719" rIns="45719" bIns="45719" numCol="1" anchor="t">
                        <a:noAutofit/>
                      </wps:bodyPr>
                    </wps:wsp>
                  </a:graphicData>
                </a:graphic>
              </wp:anchor>
            </w:drawing>
          </mc:Choice>
          <mc:Fallback>
            <w:pict>
              <v:rect id="_x0000_s1035" style="visibility:visible;position:absolute;margin-left:341.0pt;margin-top:38.6pt;width:182.0pt;height:66.8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4 of 5</w:t>
                      </w:r>
                    </w:p>
                  </w:txbxContent>
                </v:textbox>
                <w10:wrap type="none" side="bothSides" anchorx="page" anchory="page"/>
              </v:rect>
            </w:pict>
          </mc:Fallback>
        </mc:AlternateContent>
      </w:r>
      <w:r>
        <w:rPr>
          <w:rFonts w:ascii="Arial" w:cs="Arial" w:hAnsi="Arial" w:eastAsia="Arial"/>
          <w:sz w:val="24"/>
          <w:szCs w:val="24"/>
          <w:rtl w:val="0"/>
          <w:lang w:val="en-US"/>
        </w:rPr>
        <w:t xml:space="preserve">ld be accounted for by using ground fault circuit interruptors say. All installations even when temporary must conform to Uk specifications and safe practice codes. Only qualified personnel should be allowed to install site electrics. Physical barriers to substations and boards for electric supply should be constructed and appropriate signage should be displayed in all relevant areas. </w:t>
      </w:r>
    </w:p>
    <w:p>
      <w:pPr>
        <w:pStyle w:val="Body"/>
        <w:bidi w:val="0"/>
        <w:spacing w:after="0" w:line="240" w:lineRule="auto"/>
        <w:ind w:left="0" w:right="0" w:firstLine="0"/>
        <w:jc w:val="left"/>
        <w:rPr>
          <w:rFonts w:ascii="Arial" w:cs="Arial" w:hAnsi="Arial" w:eastAsia="Arial"/>
          <w:sz w:val="24"/>
          <w:szCs w:val="24"/>
          <w:rtl w:val="0"/>
        </w:rPr>
      </w:pPr>
      <w:r>
        <w:rPr>
          <w:rFonts w:ascii="Arial" w:cs="Arial" w:hAnsi="Arial" w:eastAsia="Arial"/>
          <w:sz w:val="24"/>
          <w:szCs w:val="24"/>
          <w:rtl w:val="0"/>
          <w:lang w:val="en-US"/>
        </w:rPr>
        <w:tab/>
        <w:t xml:space="preserve">Electricity to site can be supplied in different ways. The use of large on site generators or smaller portable generators can be used if no supply is available or in conjunction with a fixed supply if the supply is not great enough to cope with demand. It is more convenient to upgrade the existing supply to meet demand as this is a task that will be required to be carried out as the new structure will require that source of electricity. If the supply from the local authority is incapable of meeting demand then a temporary substation with transformers and switchgear can be constructed to increase the supply. Any electrical installations should follow National electrical code procedures and detailed drawing of temporary supplies should be presented to the electricity supply authorities. </w:t>
      </w: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p>
    <w:p>
      <w:pPr>
        <w:pStyle w:val="Body"/>
        <w:bidi w:val="0"/>
        <w:spacing w:after="0" w:line="240" w:lineRule="auto"/>
        <w:ind w:left="0" w:right="0" w:firstLine="0"/>
        <w:jc w:val="left"/>
        <w:rPr>
          <w:rFonts w:ascii="Arial" w:cs="Arial" w:hAnsi="Arial" w:eastAsia="Arial"/>
          <w:sz w:val="24"/>
          <w:szCs w:val="24"/>
          <w:rtl w:val="0"/>
        </w:rPr>
      </w:pPr>
      <w:r>
        <w:rPr>
          <w:rFonts w:ascii="Arial" w:hAnsi="Arial"/>
          <w:sz w:val="24"/>
          <w:szCs w:val="24"/>
          <w:rtl w:val="0"/>
          <w:lang w:val="en-US"/>
        </w:rPr>
        <w:t>Bibliography</w:t>
      </w:r>
    </w:p>
    <w:p>
      <w:pPr>
        <w:pStyle w:val="Body"/>
        <w:bidi w:val="0"/>
        <w:spacing w:after="0" w:line="240" w:lineRule="auto"/>
        <w:ind w:left="0" w:right="0" w:firstLine="0"/>
        <w:jc w:val="left"/>
        <w:rPr>
          <w:rFonts w:ascii="Arial" w:cs="Arial" w:hAnsi="Arial" w:eastAsia="Arial"/>
          <w:sz w:val="24"/>
          <w:szCs w:val="24"/>
          <w:rtl w:val="0"/>
        </w:rPr>
      </w:pP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"http://www.hse.gov.uk/construction/safetytopics/siteorg.htm"</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http://www.hse.gov.uk/construction/safetytopics/siteorg.htm</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"https://www.esedirect.co.uk/articles/post/Site-Organisation-for-Construction.aspx"</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https://www.esedirect.co.uk/articles/post/Site-Organisation-for-Construction.aspx</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"https://www.designingbuildings.co.uk/wiki/Site_layout_plan_for_construction"</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https://www.designingbuildings.co.uk/wiki/Site_layout_plan_for_construction</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"http://setxind.com/civil/the-key-aspects-of-civil-sitework-prior-to-construction/"</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http://setxind.com/civil/the-key-aspects-of-civil-sitework-prior-to-construction/</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"http://civilblog.org/2014/02/08/10-guidelines-to-follow-while-storing-cement/"</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http://civilblog.org/2014/02/08/10-guidelines-to-follow-while-storing-cement/</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"http://bsbgltd.com/blog/a-guide-to-the-corrosion-protection-of-structural-steel-2/"</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http://bsbgltd.com/blog/a-guide-to-the-corrosion-protection-of-structural-steel-2/</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"http://www.steelconstruction.info/Corrosion_protection"</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http://www.steelconstruction.info/Corrosion_protection</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"http://www.adphence.com.au/benefits-site-fencing/"</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http://www.adphence.com.au/benefits-site-fencing/</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"http://www.hse.gov.uk/construction/safetytopics/publicprotection.htm"</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http://www.hse.gov.uk/construction/safetytopics/publicprotection.htm</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"https://www.tlc-direct.co.uk/Book/7.5.1.htm"</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https://www.tlc-direct.co.uk/Book/7.5.1.htm</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rPr>
      </w:pPr>
      <w:r>
        <w:rPr>
          <w:rStyle w:val="Hyperlink.0"/>
          <w:rFonts w:ascii="Arial" w:cs="Arial" w:hAnsi="Arial" w:eastAsia="Arial"/>
          <w:color w:val="0000ff"/>
          <w:sz w:val="24"/>
          <w:szCs w:val="24"/>
          <w:u w:val="single" w:color="0000ff"/>
        </w:rPr>
        <w:fldChar w:fldCharType="begin" w:fldLock="0"/>
      </w:r>
      <w:r>
        <w:rPr>
          <w:rStyle w:val="Hyperlink.0"/>
          <w:rFonts w:ascii="Arial" w:cs="Arial" w:hAnsi="Arial" w:eastAsia="Arial"/>
          <w:color w:val="0000ff"/>
          <w:sz w:val="24"/>
          <w:szCs w:val="24"/>
          <w:u w:val="single" w:color="0000ff"/>
        </w:rPr>
        <w:instrText xml:space="preserve"> HYPERLINK "http://www.ieci.org/newsroom-and-insights/temporary-power-in-construction"</w:instrText>
      </w:r>
      <w:r>
        <w:rPr>
          <w:rStyle w:val="Hyperlink.0"/>
          <w:rFonts w:ascii="Arial" w:cs="Arial" w:hAnsi="Arial" w:eastAsia="Arial"/>
          <w:color w:val="0000ff"/>
          <w:sz w:val="24"/>
          <w:szCs w:val="24"/>
          <w:u w:val="single" w:color="0000ff"/>
        </w:rPr>
        <w:fldChar w:fldCharType="separate" w:fldLock="0"/>
      </w:r>
      <w:r>
        <w:rPr>
          <w:rStyle w:val="Hyperlink.0"/>
          <w:rFonts w:ascii="Arial" w:hAnsi="Arial"/>
          <w:color w:val="0000ff"/>
          <w:sz w:val="24"/>
          <w:szCs w:val="24"/>
          <w:u w:val="single" w:color="0000ff"/>
          <w:rtl w:val="0"/>
          <w:lang w:val="en-US"/>
        </w:rPr>
        <w:t>http://www.ieci.org/newsroom-and-insights/temporary-power-in-construction</w:t>
      </w:r>
      <w:r>
        <w:rPr>
          <w:rFonts w:ascii="Arial" w:cs="Arial" w:hAnsi="Arial" w:eastAsia="Arial"/>
          <w:sz w:val="24"/>
          <w:szCs w:val="24"/>
        </w:rPr>
        <w:fldChar w:fldCharType="end" w:fldLock="0"/>
      </w:r>
    </w:p>
    <w:p>
      <w:pPr>
        <w:pStyle w:val="Body"/>
        <w:numPr>
          <w:ilvl w:val="0"/>
          <w:numId w:val="2"/>
        </w:numPr>
        <w:bidi w:val="0"/>
        <w:spacing w:after="0" w:line="240" w:lineRule="auto"/>
        <w:ind w:right="0"/>
        <w:jc w:val="left"/>
        <w:rPr>
          <w:rFonts w:ascii="Arial" w:cs="Arial" w:hAnsi="Arial" w:eastAsia="Arial"/>
          <w:sz w:val="24"/>
          <w:szCs w:val="24"/>
          <w:rtl w:val="0"/>
          <w:lang w:val="en-US"/>
        </w:rPr>
      </w:pPr>
      <w:r>
        <w:rPr>
          <w:rFonts w:ascii="Arial" w:hAnsi="Arial"/>
          <w:sz w:val="24"/>
          <w:szCs w:val="24"/>
          <w:rtl w:val="0"/>
          <w:lang w:val="en-US"/>
        </w:rPr>
        <w:t>BOLC reading material</w:t>
      </w: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r>
        <mc:AlternateContent>
          <mc:Choice Requires="wps">
            <w:drawing>
              <wp:anchor distT="152400" distB="152400" distL="152400" distR="152400" simplePos="0" relativeHeight="251665408" behindDoc="0" locked="0" layoutInCell="1" allowOverlap="1">
                <wp:simplePos x="0" y="0"/>
                <wp:positionH relativeFrom="page">
                  <wp:posOffset>4331136</wp:posOffset>
                </wp:positionH>
                <wp:positionV relativeFrom="page">
                  <wp:posOffset>490239</wp:posOffset>
                </wp:positionV>
                <wp:extent cx="2310964" cy="848321"/>
                <wp:effectExtent l="0" t="0" r="0" b="0"/>
                <wp:wrapNone/>
                <wp:docPr id="1073741836" name="officeArt object"/>
                <wp:cNvGraphicFramePr/>
                <a:graphic xmlns:a="http://schemas.openxmlformats.org/drawingml/2006/main">
                  <a:graphicData uri="http://schemas.microsoft.com/office/word/2010/wordprocessingShape">
                    <wps:wsp>
                      <wps:cNvSpPr/>
                      <wps:spPr>
                        <a:xfrm>
                          <a:off x="0" y="0"/>
                          <a:ext cx="2310964" cy="848321"/>
                        </a:xfrm>
                        <a:prstGeom prst="rect">
                          <a:avLst/>
                        </a:prstGeom>
                        <a:noFill/>
                        <a:ln w="12700" cap="flat">
                          <a:noFill/>
                          <a:miter lim="400000"/>
                        </a:ln>
                        <a:effectLst/>
                      </wps:spPr>
                      <wps:txb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5 of 5</w:t>
                            </w:r>
                          </w:p>
                        </w:txbxContent>
                      </wps:txbx>
                      <wps:bodyPr wrap="square" lIns="45719" tIns="45719" rIns="45719" bIns="45719" numCol="1" anchor="t">
                        <a:noAutofit/>
                      </wps:bodyPr>
                    </wps:wsp>
                  </a:graphicData>
                </a:graphic>
              </wp:anchor>
            </w:drawing>
          </mc:Choice>
          <mc:Fallback>
            <w:pict>
              <v:rect id="_x0000_s1036" style="visibility:visible;position:absolute;margin-left:341.0pt;margin-top:38.6pt;width:182.0pt;height:66.8pt;z-index:25166540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eader &amp; Footer"/>
                        <w:bidi w:val="0"/>
                      </w:pPr>
                      <w:r>
                        <w:rPr>
                          <w:rtl w:val="0"/>
                          <w:lang w:val="en-US"/>
                        </w:rPr>
                        <w:t>Mr Daniel Bradnam</w:t>
                      </w:r>
                    </w:p>
                    <w:p>
                      <w:pPr>
                        <w:pStyle w:val="Header &amp; Footer"/>
                        <w:bidi w:val="0"/>
                      </w:pPr>
                      <w:r>
                        <w:rPr>
                          <w:rtl w:val="0"/>
                          <w:lang w:val="en-US"/>
                        </w:rPr>
                        <w:t>5325</w:t>
                      </w:r>
                    </w:p>
                    <w:p>
                      <w:pPr>
                        <w:pStyle w:val="Header &amp; Footer"/>
                        <w:bidi w:val="0"/>
                      </w:pPr>
                      <w:r>
                        <w:rPr>
                          <w:rtl w:val="0"/>
                          <w:lang w:val="en-US"/>
                        </w:rPr>
                        <w:t>Assessment 5</w:t>
                      </w:r>
                    </w:p>
                    <w:p>
                      <w:pPr>
                        <w:pStyle w:val="Header &amp; Footer"/>
                        <w:bidi w:val="0"/>
                      </w:pPr>
                      <w:r>
                        <w:rPr>
                          <w:rtl w:val="0"/>
                          <w:lang w:val="en-US"/>
                        </w:rPr>
                        <w:t>Page 5 of 5</w:t>
                      </w:r>
                    </w:p>
                  </w:txbxContent>
                </v:textbox>
                <w10:wrap type="none" side="bothSides" anchorx="page" anchory="page"/>
              </v:rect>
            </w:pict>
          </mc:Fallback>
        </mc:AlternateContent>
      </w: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Body"/>
        <w:keepLines w:val="1"/>
        <w:bidi w:val="0"/>
        <w:spacing w:after="0" w:line="240" w:lineRule="auto"/>
        <w:ind w:left="0" w:right="0" w:firstLine="0"/>
        <w:jc w:val="left"/>
        <w:rPr>
          <w:rFonts w:ascii="Arial" w:cs="Arial" w:hAnsi="Arial" w:eastAsia="Arial"/>
          <w:sz w:val="24"/>
          <w:szCs w:val="24"/>
          <w:rtl w:val="0"/>
        </w:rPr>
      </w:pPr>
    </w:p>
    <w:p>
      <w:pPr>
        <w:pStyle w:val="Default"/>
        <w:keepLines w:val="1"/>
        <w:rPr>
          <w:rFonts w:ascii="Arial" w:cs="Arial" w:hAnsi="Arial" w:eastAsia="Arial"/>
          <w:color w:val="000000"/>
          <w:u w:color="000000"/>
        </w:rPr>
      </w:pPr>
    </w:p>
    <w:p>
      <w:pPr>
        <w:pStyle w:val="Body"/>
        <w:keepLines w:val="1"/>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keepLines w:val="1"/>
        <w:widowControl w:val="0"/>
        <w:shd w:val="clear" w:color="auto" w:fill="d9d9d9"/>
        <w:spacing w:line="240" w:lineRule="auto"/>
        <w:rPr>
          <w:b w:val="1"/>
          <w:bCs w:val="1"/>
          <w:sz w:val="32"/>
          <w:szCs w:val="32"/>
        </w:rPr>
      </w:pPr>
    </w:p>
    <w:p>
      <w:pPr>
        <w:pStyle w:val="Body"/>
        <w:keepLines w:val="1"/>
        <w:rPr>
          <w:sz w:val="24"/>
          <w:szCs w:val="24"/>
        </w:rPr>
      </w:pPr>
    </w:p>
    <w:p>
      <w:pPr>
        <w:pStyle w:val="Body"/>
        <w:keepLines w:val="1"/>
        <w:rPr>
          <w:sz w:val="24"/>
          <w:szCs w:val="24"/>
        </w:rPr>
      </w:pPr>
    </w:p>
    <w:p>
      <w:pPr>
        <w:pStyle w:val="Body"/>
        <w:keepLines w:val="1"/>
      </w:pPr>
      <w:r>
        <w:rPr>
          <w:sz w:val="24"/>
          <w:szCs w:val="24"/>
        </w:rPr>
      </w:r>
    </w:p>
    <w:sectPr>
      <w:headerReference w:type="default" r:id="rId5"/>
      <w:footerReference w:type="default" r:id="rId6"/>
      <w:pgSz w:w="11900" w:h="16840" w:orient="portrait"/>
      <w:pgMar w:top="1440" w:right="1440" w:bottom="1440" w:left="1440" w:header="708" w:footer="708"/>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jc w:val="right"/>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righ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Hyperlink.0">
    <w:name w:val="Hyperlink.0"/>
    <w:basedOn w:val="Hyperlink"/>
    <w:next w:val="Hyperlink.0"/>
    <w:rPr>
      <w:color w:val="0000ff"/>
      <w:u w:val="single" w:color="0000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