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302013"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BA76435" wp14:editId="6FBC31A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C4B58E3" w14:textId="3788E1E0" w:rsidR="00607874" w:rsidRDefault="0082382C" w:rsidP="00A851DA">
      <w:pPr>
        <w:rPr>
          <w:lang w:val="en-US"/>
        </w:rPr>
      </w:pPr>
      <w:r>
        <w:rPr>
          <w:noProof/>
          <w:lang w:val="en-US"/>
        </w:rPr>
        <mc:AlternateContent>
          <mc:Choice Requires="wps">
            <w:drawing>
              <wp:anchor distT="0" distB="0" distL="114300" distR="114300" simplePos="0" relativeHeight="251660288" behindDoc="0" locked="0" layoutInCell="1" allowOverlap="1" wp14:anchorId="21CA8D52" wp14:editId="7DBF861C">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C1E71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8CC2C4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CA8D52"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3BC1E71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8CC2C4A" w14:textId="77777777" w:rsidR="00405895" w:rsidRDefault="00405895"/>
                  </w:txbxContent>
                </v:textbox>
              </v:shape>
            </w:pict>
          </mc:Fallback>
        </mc:AlternateContent>
      </w:r>
    </w:p>
    <w:p w14:paraId="019DCA18" w14:textId="77777777" w:rsidR="00607874" w:rsidRDefault="00607874" w:rsidP="00A851DA">
      <w:pPr>
        <w:rPr>
          <w:lang w:val="en-US"/>
        </w:rPr>
      </w:pPr>
    </w:p>
    <w:p w14:paraId="1D5EB517" w14:textId="77777777" w:rsidR="00607874" w:rsidRDefault="00607874" w:rsidP="00A851DA">
      <w:pPr>
        <w:rPr>
          <w:lang w:val="en-US"/>
        </w:rPr>
      </w:pPr>
    </w:p>
    <w:p w14:paraId="5555F9F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42FDF79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62559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D79C16A" w14:textId="77777777" w:rsidR="00A851DA" w:rsidRPr="00B0415E" w:rsidRDefault="00016A44">
            <w:pPr>
              <w:pStyle w:val="Default"/>
              <w:rPr>
                <w:rFonts w:asciiTheme="minorHAnsi" w:hAnsiTheme="minorHAnsi"/>
              </w:rPr>
            </w:pPr>
            <w:r>
              <w:rPr>
                <w:rFonts w:asciiTheme="minorHAnsi" w:hAnsiTheme="minorHAnsi"/>
              </w:rPr>
              <w:t>Ksenia Migda</w:t>
            </w:r>
          </w:p>
        </w:tc>
      </w:tr>
      <w:tr w:rsidR="00A851DA" w:rsidRPr="00B0415E" w14:paraId="69FFFE2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1148D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623E474" w14:textId="24566A9D" w:rsidR="00A851DA" w:rsidRPr="00B0415E" w:rsidRDefault="001A24DA">
            <w:pPr>
              <w:pStyle w:val="Default"/>
              <w:rPr>
                <w:rFonts w:asciiTheme="minorHAnsi" w:hAnsiTheme="minorHAnsi"/>
              </w:rPr>
            </w:pPr>
            <w:r>
              <w:rPr>
                <w:rFonts w:asciiTheme="minorHAnsi" w:hAnsiTheme="minorHAnsi"/>
              </w:rPr>
              <w:t>2513</w:t>
            </w:r>
          </w:p>
        </w:tc>
      </w:tr>
      <w:tr w:rsidR="00A851DA" w:rsidRPr="00B0415E" w14:paraId="5398133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C5C0A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97BF5F8" w14:textId="4456A45D" w:rsidR="00A851DA" w:rsidRPr="00B0415E" w:rsidRDefault="001A24DA">
            <w:pPr>
              <w:pStyle w:val="Default"/>
              <w:rPr>
                <w:rFonts w:asciiTheme="minorHAnsi" w:hAnsiTheme="minorHAnsi"/>
              </w:rPr>
            </w:pPr>
            <w:r>
              <w:rPr>
                <w:rFonts w:asciiTheme="minorHAnsi" w:hAnsiTheme="minorHAnsi"/>
              </w:rPr>
              <w:t>ISLAMIC BANKING</w:t>
            </w:r>
          </w:p>
        </w:tc>
      </w:tr>
      <w:tr w:rsidR="00A851DA" w:rsidRPr="00B0415E" w14:paraId="76ECE2FE" w14:textId="77777777" w:rsidTr="00016A44">
        <w:trPr>
          <w:trHeight w:val="213"/>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271DC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3AEE0A4" w14:textId="77777777" w:rsidR="00A851DA" w:rsidRPr="00B0415E" w:rsidRDefault="00016A44">
            <w:r>
              <w:t>1</w:t>
            </w:r>
          </w:p>
        </w:tc>
      </w:tr>
    </w:tbl>
    <w:p w14:paraId="78CD2E4B" w14:textId="77777777" w:rsidR="00CC2FB3" w:rsidRDefault="00CC2FB3" w:rsidP="00A851DA">
      <w:pPr>
        <w:rPr>
          <w:b/>
          <w:lang w:val="en-US"/>
        </w:rPr>
      </w:pPr>
    </w:p>
    <w:p w14:paraId="7275F58B" w14:textId="77777777" w:rsidR="00443E6F" w:rsidRDefault="00527C11" w:rsidP="00A851DA">
      <w:pPr>
        <w:rPr>
          <w:b/>
          <w:sz w:val="28"/>
          <w:lang w:val="en-US"/>
        </w:rPr>
      </w:pPr>
      <w:r w:rsidRPr="00443E6F">
        <w:rPr>
          <w:b/>
          <w:sz w:val="28"/>
          <w:lang w:val="en-US"/>
        </w:rPr>
        <w:t>Marking Criteria:</w:t>
      </w:r>
    </w:p>
    <w:p w14:paraId="3259D0E7" w14:textId="77777777" w:rsidR="00443E6F" w:rsidRDefault="00527C11" w:rsidP="007F55F0">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AB00E0D" w14:textId="77777777" w:rsidR="00527C11" w:rsidRPr="00443E6F" w:rsidRDefault="00687EE8" w:rsidP="007F55F0">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3E5A14C" w14:textId="77777777" w:rsidTr="00CC2FB3">
        <w:tc>
          <w:tcPr>
            <w:tcW w:w="9242" w:type="dxa"/>
          </w:tcPr>
          <w:p w14:paraId="0F17E44A" w14:textId="329F012B" w:rsidR="00CC2FB3" w:rsidRPr="00016A44" w:rsidRDefault="00CC2FB3" w:rsidP="007F55F0">
            <w:pPr>
              <w:spacing w:line="276" w:lineRule="auto"/>
              <w:rPr>
                <w:rFonts w:ascii="Arial" w:hAnsi="Arial" w:cs="Arial"/>
                <w:sz w:val="24"/>
                <w:szCs w:val="24"/>
              </w:rPr>
            </w:pPr>
          </w:p>
          <w:p w14:paraId="488F0AD2" w14:textId="18FC9129" w:rsidR="001A24DA" w:rsidRPr="001A24DA" w:rsidRDefault="001A24DA" w:rsidP="007F55F0">
            <w:pPr>
              <w:pStyle w:val="ListParagraph"/>
              <w:widowControl w:val="0"/>
              <w:numPr>
                <w:ilvl w:val="1"/>
                <w:numId w:val="7"/>
              </w:numPr>
              <w:tabs>
                <w:tab w:val="left" w:pos="220"/>
                <w:tab w:val="left" w:pos="720"/>
              </w:tabs>
              <w:autoSpaceDE w:val="0"/>
              <w:autoSpaceDN w:val="0"/>
              <w:adjustRightInd w:val="0"/>
              <w:spacing w:after="320" w:line="276" w:lineRule="auto"/>
              <w:rPr>
                <w:rFonts w:ascii="Arial" w:hAnsi="Arial" w:cs="Arial"/>
                <w:color w:val="000000" w:themeColor="text1"/>
                <w:sz w:val="24"/>
                <w:szCs w:val="24"/>
              </w:rPr>
            </w:pPr>
            <w:r w:rsidRPr="001A24DA">
              <w:rPr>
                <w:rFonts w:ascii="Arial" w:hAnsi="Arial" w:cs="Arial"/>
                <w:color w:val="000000" w:themeColor="text1"/>
                <w:sz w:val="24"/>
                <w:szCs w:val="24"/>
              </w:rPr>
              <w:t>B</w:t>
            </w:r>
          </w:p>
          <w:p w14:paraId="229D9D03" w14:textId="296343F5" w:rsidR="00016A44" w:rsidRPr="001A24DA" w:rsidRDefault="001A24DA" w:rsidP="007F55F0">
            <w:pPr>
              <w:pStyle w:val="ListParagraph"/>
              <w:widowControl w:val="0"/>
              <w:numPr>
                <w:ilvl w:val="1"/>
                <w:numId w:val="7"/>
              </w:numPr>
              <w:tabs>
                <w:tab w:val="left" w:pos="220"/>
                <w:tab w:val="left" w:pos="720"/>
              </w:tabs>
              <w:autoSpaceDE w:val="0"/>
              <w:autoSpaceDN w:val="0"/>
              <w:adjustRightInd w:val="0"/>
              <w:spacing w:after="320" w:line="276" w:lineRule="auto"/>
              <w:rPr>
                <w:rFonts w:ascii="Arial" w:hAnsi="Arial" w:cs="Arial"/>
                <w:color w:val="000000" w:themeColor="text1"/>
                <w:sz w:val="24"/>
                <w:szCs w:val="24"/>
              </w:rPr>
            </w:pPr>
            <w:r w:rsidRPr="001A24DA">
              <w:rPr>
                <w:rFonts w:ascii="Arial" w:eastAsia="MS Mincho" w:hAnsi="Arial" w:cs="Arial"/>
                <w:color w:val="000000" w:themeColor="text1"/>
                <w:sz w:val="24"/>
                <w:szCs w:val="24"/>
              </w:rPr>
              <w:t>A</w:t>
            </w:r>
            <w:r w:rsidR="00016A44" w:rsidRPr="001A24DA">
              <w:rPr>
                <w:rFonts w:ascii="MS Mincho" w:eastAsia="MS Mincho" w:hAnsi="MS Mincho" w:cs="MS Mincho"/>
                <w:color w:val="000000" w:themeColor="text1"/>
                <w:sz w:val="24"/>
                <w:szCs w:val="24"/>
              </w:rPr>
              <w:t> </w:t>
            </w:r>
          </w:p>
          <w:p w14:paraId="6032E8BE" w14:textId="1C179997" w:rsidR="001A24DA" w:rsidRPr="001A24DA" w:rsidRDefault="001A24DA" w:rsidP="007F55F0">
            <w:pPr>
              <w:pStyle w:val="ListParagraph"/>
              <w:widowControl w:val="0"/>
              <w:numPr>
                <w:ilvl w:val="1"/>
                <w:numId w:val="7"/>
              </w:numPr>
              <w:tabs>
                <w:tab w:val="left" w:pos="220"/>
                <w:tab w:val="left" w:pos="720"/>
              </w:tabs>
              <w:autoSpaceDE w:val="0"/>
              <w:autoSpaceDN w:val="0"/>
              <w:adjustRightInd w:val="0"/>
              <w:spacing w:after="320" w:line="276" w:lineRule="auto"/>
              <w:rPr>
                <w:rFonts w:ascii="Arial" w:hAnsi="Arial" w:cs="Arial"/>
                <w:color w:val="000000" w:themeColor="text1"/>
                <w:sz w:val="24"/>
                <w:szCs w:val="24"/>
              </w:rPr>
            </w:pPr>
            <w:r w:rsidRPr="001A24DA">
              <w:rPr>
                <w:rFonts w:ascii="Arial" w:eastAsia="MS Mincho" w:hAnsi="Arial" w:cs="Arial"/>
                <w:color w:val="000000" w:themeColor="text1"/>
                <w:sz w:val="24"/>
                <w:szCs w:val="24"/>
              </w:rPr>
              <w:t>C</w:t>
            </w:r>
          </w:p>
          <w:tbl>
            <w:tblPr>
              <w:tblpPr w:leftFromText="180" w:rightFromText="180" w:vertAnchor="text" w:horzAnchor="page" w:tblpX="802" w:tblpY="-23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0"/>
              <w:gridCol w:w="2180"/>
            </w:tblGrid>
            <w:tr w:rsidR="001A24DA" w:rsidRPr="001A24DA" w14:paraId="1066774D" w14:textId="77777777" w:rsidTr="001A24DA">
              <w:tblPrEx>
                <w:tblCellMar>
                  <w:top w:w="0" w:type="dxa"/>
                  <w:bottom w:w="0" w:type="dxa"/>
                </w:tblCellMar>
              </w:tblPrEx>
              <w:trPr>
                <w:trHeight w:val="520"/>
              </w:trPr>
              <w:tc>
                <w:tcPr>
                  <w:tcW w:w="2320" w:type="dxa"/>
                </w:tcPr>
                <w:p w14:paraId="1C356EE2" w14:textId="6728F13D" w:rsidR="001A24DA" w:rsidRPr="001A24DA" w:rsidRDefault="001A24DA" w:rsidP="007F55F0">
                  <w:pPr>
                    <w:widowControl w:val="0"/>
                    <w:tabs>
                      <w:tab w:val="left" w:pos="220"/>
                      <w:tab w:val="left" w:pos="720"/>
                    </w:tabs>
                    <w:autoSpaceDE w:val="0"/>
                    <w:autoSpaceDN w:val="0"/>
                    <w:adjustRightInd w:val="0"/>
                    <w:spacing w:after="320"/>
                    <w:rPr>
                      <w:rFonts w:ascii="Arial" w:eastAsia="MS Mincho" w:hAnsi="Arial" w:cs="Arial"/>
                      <w:color w:val="C0504D" w:themeColor="accent2"/>
                      <w:sz w:val="24"/>
                      <w:szCs w:val="24"/>
                    </w:rPr>
                  </w:pPr>
                  <w:r w:rsidRPr="001A24DA">
                    <w:rPr>
                      <w:rFonts w:ascii="Arial" w:eastAsia="MS Mincho" w:hAnsi="Arial" w:cs="Arial"/>
                      <w:color w:val="C0504D" w:themeColor="accent2"/>
                      <w:sz w:val="24"/>
                      <w:szCs w:val="24"/>
                    </w:rPr>
                    <w:t>ISLAMIC INVESTMENT</w:t>
                  </w:r>
                </w:p>
              </w:tc>
              <w:tc>
                <w:tcPr>
                  <w:tcW w:w="2180" w:type="dxa"/>
                </w:tcPr>
                <w:p w14:paraId="48EB92AB" w14:textId="28BBA274" w:rsidR="001A24DA" w:rsidRPr="001A24DA" w:rsidRDefault="001A24DA" w:rsidP="007F55F0">
                  <w:pPr>
                    <w:widowControl w:val="0"/>
                    <w:tabs>
                      <w:tab w:val="left" w:pos="220"/>
                      <w:tab w:val="left" w:pos="720"/>
                    </w:tabs>
                    <w:autoSpaceDE w:val="0"/>
                    <w:autoSpaceDN w:val="0"/>
                    <w:adjustRightInd w:val="0"/>
                    <w:spacing w:after="320"/>
                    <w:rPr>
                      <w:rFonts w:ascii="Arial" w:eastAsia="MS Mincho" w:hAnsi="Arial" w:cs="Arial"/>
                      <w:color w:val="C0504D" w:themeColor="accent2"/>
                      <w:sz w:val="24"/>
                      <w:szCs w:val="24"/>
                    </w:rPr>
                  </w:pPr>
                  <w:r w:rsidRPr="001A24DA">
                    <w:rPr>
                      <w:rFonts w:ascii="Arial" w:eastAsia="MS Mincho" w:hAnsi="Arial" w:cs="Arial"/>
                      <w:color w:val="C0504D" w:themeColor="accent2"/>
                      <w:sz w:val="24"/>
                      <w:szCs w:val="24"/>
                    </w:rPr>
                    <w:t xml:space="preserve">CONVENCIONAL INVESTMENT </w:t>
                  </w:r>
                </w:p>
              </w:tc>
            </w:tr>
            <w:tr w:rsidR="001A24DA" w:rsidRPr="001A24DA" w14:paraId="5DA70D23" w14:textId="77777777" w:rsidTr="001A24DA">
              <w:tblPrEx>
                <w:tblCellMar>
                  <w:top w:w="0" w:type="dxa"/>
                  <w:bottom w:w="0" w:type="dxa"/>
                </w:tblCellMar>
              </w:tblPrEx>
              <w:trPr>
                <w:trHeight w:val="1620"/>
              </w:trPr>
              <w:tc>
                <w:tcPr>
                  <w:tcW w:w="2320" w:type="dxa"/>
                </w:tcPr>
                <w:p w14:paraId="45FB7BE5" w14:textId="41540831" w:rsidR="001A24DA" w:rsidRPr="001A24DA" w:rsidRDefault="001A24DA" w:rsidP="007F55F0">
                  <w:pPr>
                    <w:widowControl w:val="0"/>
                    <w:tabs>
                      <w:tab w:val="left" w:pos="220"/>
                      <w:tab w:val="left" w:pos="720"/>
                    </w:tabs>
                    <w:autoSpaceDE w:val="0"/>
                    <w:autoSpaceDN w:val="0"/>
                    <w:adjustRightInd w:val="0"/>
                    <w:spacing w:after="320"/>
                    <w:rPr>
                      <w:rFonts w:ascii="Arial" w:eastAsia="MS Mincho" w:hAnsi="Arial" w:cs="Arial"/>
                      <w:color w:val="000000" w:themeColor="text1"/>
                      <w:sz w:val="24"/>
                      <w:szCs w:val="24"/>
                    </w:rPr>
                  </w:pPr>
                  <w:r w:rsidRPr="001A24DA">
                    <w:rPr>
                      <w:rFonts w:ascii="Arial" w:eastAsia="MS Mincho" w:hAnsi="Arial" w:cs="Arial"/>
                      <w:color w:val="000000" w:themeColor="text1"/>
                      <w:sz w:val="24"/>
                      <w:szCs w:val="24"/>
                    </w:rPr>
                    <w:t xml:space="preserve">A,E,F </w:t>
                  </w:r>
                </w:p>
              </w:tc>
              <w:tc>
                <w:tcPr>
                  <w:tcW w:w="2180" w:type="dxa"/>
                </w:tcPr>
                <w:p w14:paraId="5BCCDF80" w14:textId="4FCB27A7" w:rsidR="001A24DA" w:rsidRPr="001A24DA" w:rsidRDefault="001A24DA" w:rsidP="007F55F0">
                  <w:pPr>
                    <w:widowControl w:val="0"/>
                    <w:tabs>
                      <w:tab w:val="left" w:pos="220"/>
                      <w:tab w:val="left" w:pos="720"/>
                    </w:tabs>
                    <w:autoSpaceDE w:val="0"/>
                    <w:autoSpaceDN w:val="0"/>
                    <w:adjustRightInd w:val="0"/>
                    <w:spacing w:after="320"/>
                    <w:rPr>
                      <w:rFonts w:ascii="Arial" w:eastAsia="MS Mincho" w:hAnsi="Arial" w:cs="Arial"/>
                      <w:color w:val="000000" w:themeColor="text1"/>
                      <w:sz w:val="24"/>
                      <w:szCs w:val="24"/>
                    </w:rPr>
                  </w:pPr>
                  <w:r w:rsidRPr="001A24DA">
                    <w:rPr>
                      <w:rFonts w:ascii="Arial" w:eastAsia="MS Mincho" w:hAnsi="Arial" w:cs="Arial"/>
                      <w:color w:val="000000" w:themeColor="text1"/>
                      <w:sz w:val="24"/>
                      <w:szCs w:val="24"/>
                    </w:rPr>
                    <w:t>B,C,D</w:t>
                  </w:r>
                </w:p>
              </w:tc>
            </w:tr>
          </w:tbl>
          <w:p w14:paraId="5AE84540" w14:textId="0A417661" w:rsidR="001A24DA" w:rsidRPr="001A24DA" w:rsidRDefault="001A24DA" w:rsidP="007F55F0">
            <w:pPr>
              <w:widowControl w:val="0"/>
              <w:tabs>
                <w:tab w:val="left" w:pos="220"/>
                <w:tab w:val="left" w:pos="720"/>
              </w:tabs>
              <w:autoSpaceDE w:val="0"/>
              <w:autoSpaceDN w:val="0"/>
              <w:adjustRightInd w:val="0"/>
              <w:spacing w:after="320" w:line="276" w:lineRule="auto"/>
              <w:rPr>
                <w:rFonts w:ascii="Arial" w:eastAsia="MS Mincho" w:hAnsi="Arial" w:cs="Arial"/>
                <w:color w:val="C00000"/>
                <w:sz w:val="24"/>
                <w:szCs w:val="24"/>
              </w:rPr>
            </w:pPr>
            <w:r w:rsidRPr="001A24DA">
              <w:rPr>
                <w:rFonts w:ascii="Arial" w:eastAsia="MS Mincho" w:hAnsi="Arial" w:cs="Arial"/>
                <w:color w:val="C00000"/>
                <w:sz w:val="24"/>
                <w:szCs w:val="24"/>
              </w:rPr>
              <w:t xml:space="preserve">2) </w:t>
            </w:r>
          </w:p>
          <w:p w14:paraId="4BCDDBE4" w14:textId="77777777" w:rsidR="001A24DA" w:rsidRPr="001A24DA" w:rsidRDefault="001A24DA" w:rsidP="007F55F0">
            <w:pPr>
              <w:widowControl w:val="0"/>
              <w:tabs>
                <w:tab w:val="left" w:pos="220"/>
                <w:tab w:val="left" w:pos="720"/>
              </w:tabs>
              <w:autoSpaceDE w:val="0"/>
              <w:autoSpaceDN w:val="0"/>
              <w:adjustRightInd w:val="0"/>
              <w:spacing w:after="320" w:line="276" w:lineRule="auto"/>
              <w:rPr>
                <w:rFonts w:ascii="Arial" w:eastAsia="MS Mincho" w:hAnsi="Arial" w:cs="Arial"/>
                <w:color w:val="C0504D" w:themeColor="accent2"/>
                <w:sz w:val="24"/>
                <w:szCs w:val="24"/>
              </w:rPr>
            </w:pPr>
          </w:p>
          <w:p w14:paraId="5CC37A87" w14:textId="77777777" w:rsidR="001A24DA" w:rsidRPr="001A24DA" w:rsidRDefault="001A24DA" w:rsidP="007F55F0">
            <w:pPr>
              <w:widowControl w:val="0"/>
              <w:tabs>
                <w:tab w:val="left" w:pos="220"/>
                <w:tab w:val="left" w:pos="720"/>
              </w:tabs>
              <w:autoSpaceDE w:val="0"/>
              <w:autoSpaceDN w:val="0"/>
              <w:adjustRightInd w:val="0"/>
              <w:spacing w:after="320" w:line="276" w:lineRule="auto"/>
              <w:rPr>
                <w:rFonts w:ascii="Arial" w:eastAsia="MS Mincho" w:hAnsi="Arial" w:cs="Arial"/>
                <w:color w:val="C0504D" w:themeColor="accent2"/>
                <w:sz w:val="24"/>
                <w:szCs w:val="24"/>
              </w:rPr>
            </w:pPr>
          </w:p>
          <w:p w14:paraId="5240878D" w14:textId="77777777" w:rsidR="001A24DA" w:rsidRPr="001A24DA" w:rsidRDefault="001A24DA" w:rsidP="007F55F0">
            <w:pPr>
              <w:widowControl w:val="0"/>
              <w:tabs>
                <w:tab w:val="left" w:pos="220"/>
                <w:tab w:val="left" w:pos="720"/>
              </w:tabs>
              <w:autoSpaceDE w:val="0"/>
              <w:autoSpaceDN w:val="0"/>
              <w:adjustRightInd w:val="0"/>
              <w:spacing w:after="320" w:line="276" w:lineRule="auto"/>
              <w:rPr>
                <w:rFonts w:ascii="Arial" w:hAnsi="Arial" w:cs="Arial"/>
                <w:color w:val="C0504D" w:themeColor="accent2"/>
                <w:sz w:val="24"/>
                <w:szCs w:val="24"/>
              </w:rPr>
            </w:pPr>
          </w:p>
          <w:p w14:paraId="74A46C9E" w14:textId="0C2246E2" w:rsidR="001A24DA" w:rsidRPr="001A24DA" w:rsidRDefault="001A24DA" w:rsidP="007F55F0">
            <w:pPr>
              <w:widowControl w:val="0"/>
              <w:autoSpaceDE w:val="0"/>
              <w:autoSpaceDN w:val="0"/>
              <w:adjustRightInd w:val="0"/>
              <w:spacing w:after="240" w:line="276" w:lineRule="auto"/>
              <w:rPr>
                <w:rFonts w:ascii="Arial" w:hAnsi="Arial" w:cs="Arial"/>
                <w:sz w:val="24"/>
                <w:szCs w:val="24"/>
              </w:rPr>
            </w:pPr>
            <w:r w:rsidRPr="001A24DA">
              <w:rPr>
                <w:rFonts w:ascii="Arial" w:hAnsi="Arial" w:cs="Arial"/>
                <w:color w:val="C00000"/>
                <w:sz w:val="24"/>
                <w:szCs w:val="24"/>
              </w:rPr>
              <w:t xml:space="preserve">3.1) </w:t>
            </w:r>
            <w:r w:rsidRPr="001A24DA">
              <w:rPr>
                <w:rFonts w:ascii="Arial" w:hAnsi="Arial" w:cs="Arial"/>
                <w:color w:val="000000" w:themeColor="text1"/>
                <w:sz w:val="24"/>
                <w:szCs w:val="24"/>
              </w:rPr>
              <w:t xml:space="preserve">Mudaraba and Murabaha are  </w:t>
            </w:r>
            <w:r w:rsidRPr="001A24DA">
              <w:rPr>
                <w:rFonts w:ascii="Arial" w:hAnsi="Arial" w:cs="Arial"/>
                <w:sz w:val="24"/>
                <w:szCs w:val="24"/>
              </w:rPr>
              <w:t>financial instruments that are akin to equity</w:t>
            </w:r>
            <w:r w:rsidRPr="001A24DA">
              <w:rPr>
                <w:rFonts w:ascii="Arial" w:hAnsi="Arial" w:cs="Arial"/>
                <w:sz w:val="24"/>
                <w:szCs w:val="24"/>
              </w:rPr>
              <w:t xml:space="preserve">. </w:t>
            </w:r>
            <w:r w:rsidRPr="001A24DA">
              <w:rPr>
                <w:rFonts w:ascii="Arial" w:hAnsi="Arial" w:cs="Arial"/>
                <w:sz w:val="24"/>
                <w:szCs w:val="24"/>
              </w:rPr>
              <w:t>In a murabaha contract, the bank agrees to buy an asset or goods from a third party, and then resells the goods to its client with a mark-up. The client purchases the goods against either immediate or deferred payment</w:t>
            </w:r>
            <w:r w:rsidRPr="001A24DA">
              <w:rPr>
                <w:rFonts w:ascii="Arial" w:hAnsi="Arial" w:cs="Arial"/>
                <w:sz w:val="24"/>
                <w:szCs w:val="24"/>
              </w:rPr>
              <w:t xml:space="preserve">. </w:t>
            </w:r>
            <w:r w:rsidRPr="001A24DA">
              <w:rPr>
                <w:rFonts w:ascii="Arial" w:hAnsi="Arial" w:cs="Arial"/>
                <w:sz w:val="24"/>
                <w:szCs w:val="24"/>
              </w:rPr>
              <w:t xml:space="preserve">Mudaraba is a form of partnership in which one partner finances the </w:t>
            </w:r>
            <w:r w:rsidRPr="001A24DA">
              <w:rPr>
                <w:rFonts w:ascii="Arial" w:hAnsi="Arial" w:cs="Arial"/>
                <w:sz w:val="24"/>
                <w:szCs w:val="24"/>
              </w:rPr>
              <w:t xml:space="preserve">project, while the other party </w:t>
            </w:r>
            <w:r w:rsidRPr="001A24DA">
              <w:rPr>
                <w:rFonts w:ascii="Arial" w:hAnsi="Arial" w:cs="Arial"/>
                <w:sz w:val="24"/>
                <w:szCs w:val="24"/>
              </w:rPr>
              <w:t xml:space="preserve">manages it. </w:t>
            </w:r>
            <w:r w:rsidRPr="001A24DA">
              <w:rPr>
                <w:rFonts w:ascii="Arial" w:hAnsi="Arial" w:cs="Arial"/>
                <w:sz w:val="24"/>
                <w:szCs w:val="24"/>
              </w:rPr>
              <w:t>T</w:t>
            </w:r>
            <w:r w:rsidRPr="001A24DA">
              <w:rPr>
                <w:rFonts w:ascii="Arial" w:hAnsi="Arial" w:cs="Arial"/>
                <w:sz w:val="24"/>
                <w:szCs w:val="24"/>
              </w:rPr>
              <w:t>his mode of financing does not require that a company be created; the financial institution provides all of the capital and the customer is responsible for the management of the project</w:t>
            </w:r>
            <w:r w:rsidRPr="001A24DA">
              <w:rPr>
                <w:rFonts w:ascii="Arial" w:hAnsi="Arial" w:cs="Arial"/>
                <w:sz w:val="24"/>
                <w:szCs w:val="24"/>
              </w:rPr>
              <w:t>.</w:t>
            </w:r>
            <w:r w:rsidRPr="001A24DA">
              <w:rPr>
                <w:rFonts w:ascii="Arial" w:hAnsi="Arial" w:cs="Arial"/>
                <w:sz w:val="24"/>
                <w:szCs w:val="24"/>
              </w:rPr>
              <w:t xml:space="preserve"> </w:t>
            </w:r>
          </w:p>
          <w:p w14:paraId="1A06007B" w14:textId="46869C00" w:rsidR="001A24DA" w:rsidRPr="001A24DA" w:rsidRDefault="001A24DA" w:rsidP="007F55F0">
            <w:pPr>
              <w:widowControl w:val="0"/>
              <w:autoSpaceDE w:val="0"/>
              <w:autoSpaceDN w:val="0"/>
              <w:adjustRightInd w:val="0"/>
              <w:spacing w:after="240" w:line="276" w:lineRule="auto"/>
              <w:rPr>
                <w:rFonts w:ascii="Arial" w:hAnsi="Arial" w:cs="Arial"/>
                <w:color w:val="1A1A1A"/>
                <w:sz w:val="24"/>
                <w:szCs w:val="24"/>
              </w:rPr>
            </w:pPr>
            <w:r w:rsidRPr="001A24DA">
              <w:rPr>
                <w:rFonts w:ascii="Arial" w:hAnsi="Arial" w:cs="Arial"/>
                <w:color w:val="C00000"/>
                <w:sz w:val="24"/>
                <w:szCs w:val="24"/>
              </w:rPr>
              <w:t xml:space="preserve">3.2) </w:t>
            </w:r>
            <w:r w:rsidRPr="001A24DA">
              <w:rPr>
                <w:rFonts w:ascii="Arial" w:hAnsi="Arial" w:cs="Arial"/>
                <w:sz w:val="24"/>
                <w:szCs w:val="24"/>
              </w:rPr>
              <w:t xml:space="preserve">Takaful is </w:t>
            </w:r>
            <w:r w:rsidRPr="001A24DA">
              <w:rPr>
                <w:rFonts w:ascii="Arial" w:hAnsi="Arial" w:cs="Arial"/>
                <w:color w:val="1A1A1A"/>
                <w:sz w:val="24"/>
                <w:szCs w:val="24"/>
              </w:rPr>
              <w:t xml:space="preserve">a type of insurance system devised to comply with the sharia laws, </w:t>
            </w:r>
            <w:r w:rsidRPr="001A24DA">
              <w:rPr>
                <w:rFonts w:ascii="Arial" w:hAnsi="Arial" w:cs="Arial"/>
                <w:color w:val="1A1A1A"/>
                <w:sz w:val="24"/>
                <w:szCs w:val="24"/>
              </w:rPr>
              <w:lastRenderedPageBreak/>
              <w:t>in which money is pooled and invested.</w:t>
            </w:r>
          </w:p>
          <w:p w14:paraId="4E2F9113" w14:textId="47CF0989" w:rsidR="001A24DA" w:rsidRPr="001A24DA" w:rsidRDefault="001A24DA" w:rsidP="007F55F0">
            <w:pPr>
              <w:widowControl w:val="0"/>
              <w:autoSpaceDE w:val="0"/>
              <w:autoSpaceDN w:val="0"/>
              <w:adjustRightInd w:val="0"/>
              <w:spacing w:after="240" w:line="276" w:lineRule="auto"/>
              <w:rPr>
                <w:rFonts w:ascii="Arial" w:hAnsi="Arial" w:cs="Arial"/>
                <w:sz w:val="24"/>
                <w:szCs w:val="24"/>
              </w:rPr>
            </w:pPr>
            <w:r w:rsidRPr="001A24DA">
              <w:rPr>
                <w:rFonts w:ascii="Arial" w:hAnsi="Arial" w:cs="Arial"/>
                <w:color w:val="C00000"/>
                <w:sz w:val="24"/>
                <w:szCs w:val="24"/>
              </w:rPr>
              <w:t xml:space="preserve">3.3) </w:t>
            </w:r>
            <w:r w:rsidRPr="001A24DA">
              <w:rPr>
                <w:rFonts w:ascii="Arial" w:hAnsi="Arial" w:cs="Arial"/>
                <w:sz w:val="24"/>
                <w:szCs w:val="24"/>
              </w:rPr>
              <w:t>Islam permits the contracting parties to agree on any conditions as long as they do not violate any Shari’a</w:t>
            </w:r>
            <w:r w:rsidRPr="001A24DA">
              <w:rPr>
                <w:rFonts w:ascii="Arial" w:hAnsi="Arial" w:cs="Arial"/>
                <w:sz w:val="24"/>
                <w:szCs w:val="24"/>
              </w:rPr>
              <w:t xml:space="preserve"> </w:t>
            </w:r>
            <w:r w:rsidRPr="001A24DA">
              <w:rPr>
                <w:rFonts w:ascii="Arial" w:hAnsi="Arial" w:cs="Arial"/>
                <w:sz w:val="24"/>
                <w:szCs w:val="24"/>
              </w:rPr>
              <w:t>ruling. There is a well-known authentic hadith which states: ‘All the conditions agreed upon by the Muslims are upheld, except a condition which allows what is prohibited or prohibits what is lawful’</w:t>
            </w:r>
            <w:r w:rsidRPr="001A24DA">
              <w:rPr>
                <w:rFonts w:ascii="Arial" w:hAnsi="Arial" w:cs="Arial"/>
                <w:sz w:val="24"/>
                <w:szCs w:val="24"/>
              </w:rPr>
              <w:t>. T</w:t>
            </w:r>
            <w:r w:rsidRPr="001A24DA">
              <w:rPr>
                <w:rFonts w:ascii="Arial" w:hAnsi="Arial" w:cs="Arial"/>
                <w:sz w:val="24"/>
                <w:szCs w:val="24"/>
              </w:rPr>
              <w:t xml:space="preserve">his principle gives a very wide scope for designing contracts. </w:t>
            </w:r>
          </w:p>
          <w:p w14:paraId="37A4BB36" w14:textId="09621E1E" w:rsidR="001A24DA" w:rsidRPr="001A24DA" w:rsidRDefault="001A24DA" w:rsidP="007F55F0">
            <w:pPr>
              <w:widowControl w:val="0"/>
              <w:autoSpaceDE w:val="0"/>
              <w:autoSpaceDN w:val="0"/>
              <w:adjustRightInd w:val="0"/>
              <w:spacing w:after="240" w:line="276" w:lineRule="auto"/>
              <w:rPr>
                <w:rFonts w:ascii="Arial" w:hAnsi="Arial" w:cs="Arial"/>
                <w:sz w:val="24"/>
                <w:szCs w:val="24"/>
              </w:rPr>
            </w:pPr>
            <w:r w:rsidRPr="001A24DA">
              <w:rPr>
                <w:rFonts w:ascii="Arial" w:hAnsi="Arial" w:cs="Arial"/>
                <w:color w:val="C00000"/>
                <w:sz w:val="24"/>
                <w:szCs w:val="24"/>
              </w:rPr>
              <w:t xml:space="preserve">3.4) </w:t>
            </w:r>
            <w:r w:rsidRPr="001A24DA">
              <w:rPr>
                <w:rFonts w:ascii="Arial" w:hAnsi="Arial" w:cs="Arial"/>
                <w:sz w:val="24"/>
                <w:szCs w:val="24"/>
              </w:rPr>
              <w:t>substituting profit-and-loss-sharing for interest as a method of resource allocation</w:t>
            </w:r>
            <w:r w:rsidRPr="001A24DA">
              <w:rPr>
                <w:rFonts w:ascii="Arial" w:hAnsi="Arial" w:cs="Arial"/>
                <w:sz w:val="24"/>
                <w:szCs w:val="24"/>
              </w:rPr>
              <w:t xml:space="preserve"> and replacing interest rate </w:t>
            </w:r>
            <w:r w:rsidRPr="001A24DA">
              <w:rPr>
                <w:rFonts w:ascii="Arial" w:hAnsi="Arial" w:cs="Arial"/>
                <w:sz w:val="24"/>
                <w:szCs w:val="24"/>
              </w:rPr>
              <w:t xml:space="preserve">. </w:t>
            </w:r>
          </w:p>
          <w:p w14:paraId="072EFE9B" w14:textId="02DDE40C" w:rsidR="001A24DA" w:rsidRPr="001A24DA" w:rsidRDefault="001A24DA" w:rsidP="007F55F0">
            <w:pPr>
              <w:widowControl w:val="0"/>
              <w:autoSpaceDE w:val="0"/>
              <w:autoSpaceDN w:val="0"/>
              <w:adjustRightInd w:val="0"/>
              <w:spacing w:after="240" w:line="276" w:lineRule="auto"/>
              <w:rPr>
                <w:rFonts w:ascii="Arial" w:hAnsi="Arial" w:cs="Arial"/>
                <w:sz w:val="24"/>
                <w:szCs w:val="24"/>
              </w:rPr>
            </w:pPr>
            <w:r w:rsidRPr="001A24DA">
              <w:rPr>
                <w:rFonts w:ascii="Arial" w:hAnsi="Arial" w:cs="Arial"/>
                <w:color w:val="C00000"/>
                <w:sz w:val="24"/>
                <w:szCs w:val="24"/>
              </w:rPr>
              <w:t xml:space="preserve">3.5.a) </w:t>
            </w:r>
            <w:r w:rsidRPr="001A24DA">
              <w:rPr>
                <w:rFonts w:ascii="Arial" w:hAnsi="Arial" w:cs="Arial"/>
                <w:sz w:val="24"/>
                <w:szCs w:val="24"/>
              </w:rPr>
              <w:t xml:space="preserve">Ijara is </w:t>
            </w:r>
            <w:r w:rsidRPr="001A24DA">
              <w:rPr>
                <w:rFonts w:ascii="Arial" w:hAnsi="Arial" w:cs="Arial"/>
                <w:sz w:val="24"/>
                <w:szCs w:val="24"/>
              </w:rPr>
              <w:t>th</w:t>
            </w:r>
            <w:r w:rsidRPr="001A24DA">
              <w:rPr>
                <w:rFonts w:ascii="Arial" w:hAnsi="Arial" w:cs="Arial"/>
                <w:sz w:val="24"/>
                <w:szCs w:val="24"/>
              </w:rPr>
              <w:t>e right to use goods</w:t>
            </w:r>
            <w:r w:rsidRPr="001A24DA">
              <w:rPr>
                <w:rFonts w:ascii="Arial" w:hAnsi="Arial" w:cs="Arial"/>
                <w:sz w:val="24"/>
                <w:szCs w:val="24"/>
              </w:rPr>
              <w:t xml:space="preserve"> for a specific period</w:t>
            </w:r>
            <w:r w:rsidRPr="001A24DA">
              <w:rPr>
                <w:rFonts w:ascii="Arial" w:hAnsi="Arial" w:cs="Arial"/>
                <w:sz w:val="24"/>
                <w:szCs w:val="24"/>
              </w:rPr>
              <w:t xml:space="preserve">, </w:t>
            </w:r>
            <w:r w:rsidRPr="001A24DA">
              <w:rPr>
                <w:rFonts w:ascii="Arial" w:hAnsi="Arial" w:cs="Arial"/>
                <w:sz w:val="24"/>
                <w:szCs w:val="24"/>
              </w:rPr>
              <w:t>leasing originated as a trading activity and later on became a mode of finance. Ijara is a contract under which a bank buys and leases out an asset or equipment required by its client for a rental fee</w:t>
            </w:r>
          </w:p>
          <w:p w14:paraId="0E14ADEE" w14:textId="353AF5F4" w:rsidR="001A24DA" w:rsidRPr="001A24DA" w:rsidRDefault="001A24DA" w:rsidP="007F55F0">
            <w:pPr>
              <w:widowControl w:val="0"/>
              <w:autoSpaceDE w:val="0"/>
              <w:autoSpaceDN w:val="0"/>
              <w:adjustRightInd w:val="0"/>
              <w:spacing w:after="240" w:line="276" w:lineRule="auto"/>
              <w:rPr>
                <w:rFonts w:ascii="Arial" w:hAnsi="Arial" w:cs="Arial"/>
                <w:sz w:val="24"/>
                <w:szCs w:val="24"/>
              </w:rPr>
            </w:pPr>
            <w:r w:rsidRPr="001A24DA">
              <w:rPr>
                <w:rFonts w:ascii="Arial" w:hAnsi="Arial" w:cs="Arial"/>
                <w:sz w:val="24"/>
                <w:szCs w:val="24"/>
              </w:rPr>
              <w:t xml:space="preserve">      </w:t>
            </w:r>
            <w:r w:rsidRPr="001A24DA">
              <w:rPr>
                <w:rFonts w:ascii="Arial" w:hAnsi="Arial" w:cs="Arial"/>
                <w:color w:val="C00000"/>
                <w:sz w:val="24"/>
                <w:szCs w:val="24"/>
              </w:rPr>
              <w:t xml:space="preserve">b) </w:t>
            </w:r>
            <w:r w:rsidRPr="001A24DA">
              <w:rPr>
                <w:rFonts w:ascii="Arial" w:hAnsi="Arial" w:cs="Arial"/>
                <w:sz w:val="24"/>
                <w:szCs w:val="24"/>
              </w:rPr>
              <w:t>Istisnaa is commissioned manufacture, o</w:t>
            </w:r>
            <w:r w:rsidRPr="001A24DA">
              <w:rPr>
                <w:rFonts w:ascii="Arial" w:hAnsi="Arial" w:cs="Arial"/>
                <w:sz w:val="24"/>
                <w:szCs w:val="24"/>
              </w:rPr>
              <w:t xml:space="preserve">ne party buys the goods and the other party undertakes to manufacture them, according to agreed specifications. </w:t>
            </w:r>
          </w:p>
          <w:p w14:paraId="6DB4DF5D" w14:textId="4EE9F516" w:rsidR="001A24DA" w:rsidRPr="001A24DA" w:rsidRDefault="001A24DA" w:rsidP="007F55F0">
            <w:pPr>
              <w:widowControl w:val="0"/>
              <w:autoSpaceDE w:val="0"/>
              <w:autoSpaceDN w:val="0"/>
              <w:adjustRightInd w:val="0"/>
              <w:spacing w:after="240" w:line="276" w:lineRule="auto"/>
              <w:rPr>
                <w:rFonts w:ascii="Arial" w:hAnsi="Arial" w:cs="Arial"/>
                <w:color w:val="1A1A1A"/>
                <w:sz w:val="24"/>
                <w:szCs w:val="24"/>
              </w:rPr>
            </w:pPr>
            <w:r w:rsidRPr="001A24DA">
              <w:rPr>
                <w:rFonts w:ascii="Arial" w:hAnsi="Arial" w:cs="Arial"/>
                <w:sz w:val="24"/>
                <w:szCs w:val="24"/>
              </w:rPr>
              <w:t xml:space="preserve">      </w:t>
            </w:r>
            <w:r w:rsidRPr="001A24DA">
              <w:rPr>
                <w:rFonts w:ascii="Arial" w:hAnsi="Arial" w:cs="Arial"/>
                <w:color w:val="C00000"/>
                <w:sz w:val="24"/>
                <w:szCs w:val="24"/>
              </w:rPr>
              <w:t xml:space="preserve">c) </w:t>
            </w:r>
            <w:r w:rsidRPr="001A24DA">
              <w:rPr>
                <w:rFonts w:ascii="Arial" w:hAnsi="Arial" w:cs="Arial"/>
                <w:sz w:val="24"/>
                <w:szCs w:val="24"/>
              </w:rPr>
              <w:t xml:space="preserve">Riba is </w:t>
            </w:r>
            <w:r w:rsidRPr="001A24DA">
              <w:rPr>
                <w:rFonts w:ascii="Arial" w:hAnsi="Arial" w:cs="Arial"/>
                <w:color w:val="1A1A1A"/>
                <w:sz w:val="24"/>
                <w:szCs w:val="24"/>
              </w:rPr>
              <w:t>u</w:t>
            </w:r>
            <w:r w:rsidRPr="001A24DA">
              <w:rPr>
                <w:rFonts w:ascii="Arial" w:hAnsi="Arial" w:cs="Arial"/>
                <w:color w:val="1A1A1A"/>
                <w:sz w:val="24"/>
                <w:szCs w:val="24"/>
              </w:rPr>
              <w:t>njustified increment in borrowing or lending money, paid in kind or in money above the amount of loan, as a condition imposed by the lender or voluntarily by the borrower</w:t>
            </w:r>
            <w:r w:rsidRPr="001A24DA">
              <w:rPr>
                <w:rFonts w:ascii="Arial" w:hAnsi="Arial" w:cs="Arial"/>
                <w:color w:val="1A1A1A"/>
                <w:sz w:val="24"/>
                <w:szCs w:val="24"/>
              </w:rPr>
              <w:t>.</w:t>
            </w:r>
          </w:p>
          <w:p w14:paraId="3204D3B0" w14:textId="7E39D070" w:rsidR="001A24DA" w:rsidRPr="001A24DA" w:rsidRDefault="001A24DA" w:rsidP="007F55F0">
            <w:pPr>
              <w:widowControl w:val="0"/>
              <w:autoSpaceDE w:val="0"/>
              <w:autoSpaceDN w:val="0"/>
              <w:adjustRightInd w:val="0"/>
              <w:spacing w:after="240" w:line="276" w:lineRule="auto"/>
              <w:rPr>
                <w:rFonts w:ascii="Arial" w:hAnsi="Arial" w:cs="Arial"/>
                <w:sz w:val="24"/>
                <w:szCs w:val="24"/>
              </w:rPr>
            </w:pPr>
            <w:r w:rsidRPr="001A24DA">
              <w:rPr>
                <w:rFonts w:ascii="Arial" w:hAnsi="Arial" w:cs="Arial"/>
                <w:color w:val="1A1A1A"/>
                <w:sz w:val="24"/>
                <w:szCs w:val="24"/>
              </w:rPr>
              <w:t xml:space="preserve">      </w:t>
            </w:r>
            <w:r w:rsidRPr="001A24DA">
              <w:rPr>
                <w:rFonts w:ascii="Arial" w:hAnsi="Arial" w:cs="Arial"/>
                <w:color w:val="C00000"/>
                <w:sz w:val="24"/>
                <w:szCs w:val="24"/>
              </w:rPr>
              <w:t xml:space="preserve">d) </w:t>
            </w:r>
            <w:r w:rsidRPr="001A24DA">
              <w:rPr>
                <w:rFonts w:ascii="Arial" w:hAnsi="Arial" w:cs="Arial"/>
                <w:sz w:val="24"/>
                <w:szCs w:val="24"/>
              </w:rPr>
              <w:t xml:space="preserve">Bai bi-thaminajil involves a credit sale of goods on a deferred payment basis. At the request of its customer, the bank purchases an existing contract to buy certain goods on a deferred payment schedule, and then sells the goods back to the customer at an agreed price. The bank pays the original supplier upon delivery of the goods, while the bank’s customer can repay in a lump sum or make instalment payments over an agreed period </w:t>
            </w:r>
          </w:p>
          <w:p w14:paraId="006C220A" w14:textId="36116623" w:rsidR="001A24DA" w:rsidRPr="001A24DA" w:rsidRDefault="001A24DA" w:rsidP="007F55F0">
            <w:pPr>
              <w:widowControl w:val="0"/>
              <w:autoSpaceDE w:val="0"/>
              <w:autoSpaceDN w:val="0"/>
              <w:adjustRightInd w:val="0"/>
              <w:spacing w:after="240" w:line="276" w:lineRule="auto"/>
              <w:rPr>
                <w:rFonts w:ascii="Arial" w:hAnsi="Arial" w:cs="Arial"/>
                <w:color w:val="C00000"/>
                <w:sz w:val="24"/>
                <w:szCs w:val="24"/>
              </w:rPr>
            </w:pPr>
            <w:r w:rsidRPr="001A24DA">
              <w:rPr>
                <w:rFonts w:ascii="Arial" w:hAnsi="Arial" w:cs="Arial"/>
                <w:color w:val="C00000"/>
                <w:sz w:val="24"/>
                <w:szCs w:val="24"/>
              </w:rPr>
              <w:t>Case study</w:t>
            </w:r>
          </w:p>
          <w:p w14:paraId="35FE32AC" w14:textId="77777777" w:rsidR="001A24DA" w:rsidRPr="007F55F0" w:rsidRDefault="001A24DA" w:rsidP="007F55F0">
            <w:pPr>
              <w:pStyle w:val="ListParagraph"/>
              <w:widowControl w:val="0"/>
              <w:numPr>
                <w:ilvl w:val="0"/>
                <w:numId w:val="9"/>
              </w:numPr>
              <w:autoSpaceDE w:val="0"/>
              <w:autoSpaceDN w:val="0"/>
              <w:adjustRightInd w:val="0"/>
              <w:spacing w:line="276" w:lineRule="auto"/>
              <w:rPr>
                <w:rFonts w:ascii="Arial" w:hAnsi="Arial" w:cs="Arial"/>
                <w:sz w:val="24"/>
                <w:szCs w:val="24"/>
              </w:rPr>
            </w:pPr>
            <w:r w:rsidRPr="007F55F0">
              <w:rPr>
                <w:rFonts w:ascii="Arial" w:hAnsi="Arial" w:cs="Arial"/>
                <w:color w:val="262626"/>
                <w:sz w:val="24"/>
                <w:szCs w:val="24"/>
              </w:rPr>
              <w:t xml:space="preserve">Ijara and Murabaha </w:t>
            </w:r>
            <w:r w:rsidRPr="007F55F0">
              <w:rPr>
                <w:rFonts w:ascii="Arial" w:hAnsi="Arial" w:cs="Arial"/>
                <w:color w:val="262626"/>
                <w:sz w:val="24"/>
                <w:szCs w:val="24"/>
              </w:rPr>
              <w:t>both involve the lender purchasing a property and either selling it to the buyer at a slightly increased price, or renting it to the buyer over a period of time until the mortgage is paid in full.</w:t>
            </w:r>
            <w:r w:rsidRPr="007F55F0">
              <w:rPr>
                <w:rFonts w:ascii="Arial" w:hAnsi="Arial" w:cs="Arial"/>
                <w:color w:val="262626"/>
                <w:sz w:val="24"/>
                <w:szCs w:val="24"/>
              </w:rPr>
              <w:t xml:space="preserve"> </w:t>
            </w:r>
          </w:p>
          <w:p w14:paraId="23539FDA" w14:textId="73EAB078" w:rsidR="001A24DA" w:rsidRPr="007F55F0" w:rsidRDefault="001A24DA" w:rsidP="007F55F0">
            <w:pPr>
              <w:widowControl w:val="0"/>
              <w:autoSpaceDE w:val="0"/>
              <w:autoSpaceDN w:val="0"/>
              <w:adjustRightInd w:val="0"/>
              <w:spacing w:line="276" w:lineRule="auto"/>
              <w:rPr>
                <w:rFonts w:ascii="Arial" w:hAnsi="Arial" w:cs="Arial"/>
                <w:sz w:val="24"/>
                <w:szCs w:val="24"/>
              </w:rPr>
            </w:pPr>
            <w:r w:rsidRPr="007F55F0">
              <w:rPr>
                <w:rFonts w:ascii="Arial" w:hAnsi="Arial" w:cs="Arial"/>
                <w:b/>
                <w:bCs/>
                <w:color w:val="262626"/>
                <w:sz w:val="24"/>
                <w:szCs w:val="24"/>
              </w:rPr>
              <w:t>Murabaha (deferred sale finance)</w:t>
            </w:r>
          </w:p>
          <w:p w14:paraId="5A282C4F" w14:textId="77777777" w:rsidR="001A24DA" w:rsidRPr="007F55F0" w:rsidRDefault="001A24DA" w:rsidP="007F55F0">
            <w:pPr>
              <w:widowControl w:val="0"/>
              <w:autoSpaceDE w:val="0"/>
              <w:autoSpaceDN w:val="0"/>
              <w:adjustRightInd w:val="0"/>
              <w:spacing w:line="276" w:lineRule="auto"/>
              <w:rPr>
                <w:rFonts w:ascii="Arial" w:hAnsi="Arial" w:cs="Arial"/>
                <w:sz w:val="24"/>
                <w:szCs w:val="24"/>
              </w:rPr>
            </w:pPr>
            <w:r w:rsidRPr="007F55F0">
              <w:rPr>
                <w:rFonts w:ascii="Arial" w:hAnsi="Arial" w:cs="Arial"/>
                <w:color w:val="262626"/>
                <w:sz w:val="24"/>
                <w:szCs w:val="24"/>
              </w:rPr>
              <w:t>For this kind of mortgage, the buyer is required to finance a percentage of the property upfront - typically up to 20 per cent. This option is therefore best for people who are starting out with some capital behind them.</w:t>
            </w:r>
          </w:p>
          <w:p w14:paraId="5238C2CB" w14:textId="77777777" w:rsidR="001A24DA" w:rsidRPr="007F55F0" w:rsidRDefault="001A24DA" w:rsidP="007F55F0">
            <w:pPr>
              <w:widowControl w:val="0"/>
              <w:autoSpaceDE w:val="0"/>
              <w:autoSpaceDN w:val="0"/>
              <w:adjustRightInd w:val="0"/>
              <w:spacing w:line="276" w:lineRule="auto"/>
              <w:rPr>
                <w:rFonts w:ascii="Arial" w:hAnsi="Arial" w:cs="Arial"/>
                <w:color w:val="262626"/>
                <w:sz w:val="24"/>
                <w:szCs w:val="24"/>
              </w:rPr>
            </w:pPr>
            <w:r w:rsidRPr="007F55F0">
              <w:rPr>
                <w:rFonts w:ascii="Arial" w:hAnsi="Arial" w:cs="Arial"/>
                <w:color w:val="262626"/>
                <w:sz w:val="24"/>
                <w:szCs w:val="24"/>
              </w:rPr>
              <w:t>The key benefit of Murabaha mortgages is that from day one, the property officially belongs to you - it is registered in your name. The repayment period and monthly repayment amounts are agreed between you and the lender. Repayments are fixed for the term of your mortgage. The maximum repayment term is 15 years, and you can repay the loan in full at any point without penalty.</w:t>
            </w:r>
          </w:p>
          <w:p w14:paraId="4FD1EBF6" w14:textId="3F781E09" w:rsidR="001A24DA" w:rsidRPr="007F55F0" w:rsidRDefault="001A24DA" w:rsidP="007F55F0">
            <w:pPr>
              <w:widowControl w:val="0"/>
              <w:autoSpaceDE w:val="0"/>
              <w:autoSpaceDN w:val="0"/>
              <w:adjustRightInd w:val="0"/>
              <w:spacing w:line="276" w:lineRule="auto"/>
              <w:rPr>
                <w:rFonts w:ascii="Arial" w:hAnsi="Arial" w:cs="Arial"/>
                <w:sz w:val="24"/>
                <w:szCs w:val="24"/>
              </w:rPr>
            </w:pPr>
            <w:r w:rsidRPr="007F55F0">
              <w:rPr>
                <w:rFonts w:ascii="Arial" w:hAnsi="Arial" w:cs="Arial"/>
                <w:b/>
                <w:bCs/>
                <w:color w:val="262626"/>
                <w:sz w:val="24"/>
                <w:szCs w:val="24"/>
              </w:rPr>
              <w:t>Ijara (lease to own)</w:t>
            </w:r>
          </w:p>
          <w:p w14:paraId="43562E7C" w14:textId="77777777" w:rsidR="001A24DA" w:rsidRPr="007F55F0" w:rsidRDefault="001A24DA" w:rsidP="007F55F0">
            <w:pPr>
              <w:widowControl w:val="0"/>
              <w:autoSpaceDE w:val="0"/>
              <w:autoSpaceDN w:val="0"/>
              <w:adjustRightInd w:val="0"/>
              <w:spacing w:line="276" w:lineRule="auto"/>
              <w:rPr>
                <w:rFonts w:ascii="Arial" w:hAnsi="Arial" w:cs="Arial"/>
                <w:sz w:val="24"/>
                <w:szCs w:val="24"/>
              </w:rPr>
            </w:pPr>
            <w:r w:rsidRPr="007F55F0">
              <w:rPr>
                <w:rFonts w:ascii="Arial" w:hAnsi="Arial" w:cs="Arial"/>
                <w:color w:val="262626"/>
                <w:sz w:val="24"/>
                <w:szCs w:val="24"/>
              </w:rPr>
              <w:lastRenderedPageBreak/>
              <w:t>Ijara mortgages have proven to be the more popular product available, as there is no requirement for a large initial payment or deposit, and it is a slightly more flexible arrangement.</w:t>
            </w:r>
          </w:p>
          <w:p w14:paraId="5C421706" w14:textId="77777777" w:rsidR="001A24DA" w:rsidRPr="007F55F0" w:rsidRDefault="001A24DA" w:rsidP="007F55F0">
            <w:pPr>
              <w:widowControl w:val="0"/>
              <w:autoSpaceDE w:val="0"/>
              <w:autoSpaceDN w:val="0"/>
              <w:adjustRightInd w:val="0"/>
              <w:spacing w:line="276" w:lineRule="auto"/>
              <w:rPr>
                <w:rFonts w:ascii="Arial" w:hAnsi="Arial" w:cs="Arial"/>
                <w:sz w:val="24"/>
                <w:szCs w:val="24"/>
              </w:rPr>
            </w:pPr>
            <w:r w:rsidRPr="007F55F0">
              <w:rPr>
                <w:rFonts w:ascii="Arial" w:hAnsi="Arial" w:cs="Arial"/>
                <w:color w:val="262626"/>
                <w:sz w:val="24"/>
                <w:szCs w:val="24"/>
              </w:rPr>
              <w:t>The main difference between Ijara and Murabaha is that with an Ijara mortgage, the property will not immediately be registered as belonging to you. Instead, you will essentially rent the property from your lender. In addition to the agreed monthly repayment amounts, you will also pay monthly rent to the bank.</w:t>
            </w:r>
          </w:p>
          <w:p w14:paraId="6E7A220F" w14:textId="77777777" w:rsidR="001A24DA" w:rsidRPr="007F55F0" w:rsidRDefault="001A24DA" w:rsidP="007F55F0">
            <w:pPr>
              <w:widowControl w:val="0"/>
              <w:autoSpaceDE w:val="0"/>
              <w:autoSpaceDN w:val="0"/>
              <w:adjustRightInd w:val="0"/>
              <w:spacing w:line="276" w:lineRule="auto"/>
              <w:rPr>
                <w:rFonts w:ascii="Arial" w:hAnsi="Arial" w:cs="Arial"/>
                <w:color w:val="262626"/>
                <w:sz w:val="24"/>
                <w:szCs w:val="24"/>
              </w:rPr>
            </w:pPr>
            <w:r w:rsidRPr="007F55F0">
              <w:rPr>
                <w:rFonts w:ascii="Arial" w:hAnsi="Arial" w:cs="Arial"/>
                <w:color w:val="262626"/>
                <w:sz w:val="24"/>
                <w:szCs w:val="24"/>
              </w:rPr>
              <w:t>At the end of the agreed term or once the purchase price has been repaid in full, ownership of the property is transferred from the lender to you.</w:t>
            </w:r>
          </w:p>
          <w:p w14:paraId="0DC9A1F9" w14:textId="77777777" w:rsidR="001A24DA" w:rsidRPr="007F55F0" w:rsidRDefault="001A24DA" w:rsidP="007F55F0">
            <w:pPr>
              <w:widowControl w:val="0"/>
              <w:autoSpaceDE w:val="0"/>
              <w:autoSpaceDN w:val="0"/>
              <w:adjustRightInd w:val="0"/>
              <w:spacing w:line="276" w:lineRule="auto"/>
              <w:rPr>
                <w:rFonts w:ascii="Arial" w:hAnsi="Arial" w:cs="Arial"/>
                <w:color w:val="262626"/>
                <w:sz w:val="24"/>
                <w:szCs w:val="24"/>
              </w:rPr>
            </w:pPr>
          </w:p>
          <w:p w14:paraId="19D55297" w14:textId="6C419000" w:rsidR="00B96EC0" w:rsidRPr="007F55F0" w:rsidRDefault="00B96EC0" w:rsidP="007F55F0">
            <w:pPr>
              <w:pStyle w:val="ListParagraph"/>
              <w:widowControl w:val="0"/>
              <w:numPr>
                <w:ilvl w:val="0"/>
                <w:numId w:val="9"/>
              </w:numPr>
              <w:autoSpaceDE w:val="0"/>
              <w:autoSpaceDN w:val="0"/>
              <w:adjustRightInd w:val="0"/>
              <w:spacing w:line="276" w:lineRule="auto"/>
              <w:rPr>
                <w:rFonts w:ascii="Arial" w:hAnsi="Arial" w:cs="Arial"/>
                <w:b/>
                <w:bCs/>
                <w:color w:val="262626"/>
                <w:sz w:val="24"/>
                <w:szCs w:val="24"/>
              </w:rPr>
            </w:pPr>
            <w:r w:rsidRPr="007F55F0">
              <w:rPr>
                <w:rFonts w:ascii="Arial" w:hAnsi="Arial" w:cs="Arial"/>
                <w:b/>
                <w:bCs/>
                <w:color w:val="262626"/>
                <w:sz w:val="24"/>
                <w:szCs w:val="24"/>
              </w:rPr>
              <w:t>Conventional mortgage</w:t>
            </w:r>
          </w:p>
          <w:p w14:paraId="3851868C" w14:textId="77777777" w:rsidR="00B96EC0" w:rsidRPr="007F55F0" w:rsidRDefault="00B96EC0" w:rsidP="007F55F0">
            <w:pPr>
              <w:widowControl w:val="0"/>
              <w:autoSpaceDE w:val="0"/>
              <w:autoSpaceDN w:val="0"/>
              <w:adjustRightInd w:val="0"/>
              <w:spacing w:line="276" w:lineRule="auto"/>
              <w:rPr>
                <w:rFonts w:ascii="Arial" w:hAnsi="Arial" w:cs="Arial"/>
                <w:color w:val="262626"/>
                <w:sz w:val="24"/>
                <w:szCs w:val="24"/>
              </w:rPr>
            </w:pPr>
            <w:r w:rsidRPr="007F55F0">
              <w:rPr>
                <w:rFonts w:ascii="Arial" w:hAnsi="Arial" w:cs="Arial"/>
                <w:color w:val="262626"/>
                <w:sz w:val="24"/>
                <w:szCs w:val="24"/>
              </w:rPr>
              <w:t>With a conventional mortgage, a bank lends money to purchase a new home and charges interest on that loan.</w:t>
            </w:r>
          </w:p>
          <w:p w14:paraId="6CADB1FF" w14:textId="5BAA444C" w:rsidR="001A24DA" w:rsidRPr="007F55F0" w:rsidRDefault="00B96EC0" w:rsidP="007F55F0">
            <w:pPr>
              <w:widowControl w:val="0"/>
              <w:autoSpaceDE w:val="0"/>
              <w:autoSpaceDN w:val="0"/>
              <w:adjustRightInd w:val="0"/>
              <w:spacing w:line="276" w:lineRule="auto"/>
              <w:rPr>
                <w:rFonts w:ascii="Arial" w:hAnsi="Arial" w:cs="Arial"/>
                <w:color w:val="262626"/>
                <w:sz w:val="24"/>
                <w:szCs w:val="24"/>
              </w:rPr>
            </w:pPr>
            <w:r w:rsidRPr="007F55F0">
              <w:rPr>
                <w:rFonts w:ascii="Arial" w:hAnsi="Arial" w:cs="Arial"/>
                <w:color w:val="262626"/>
                <w:sz w:val="24"/>
                <w:szCs w:val="24"/>
              </w:rPr>
              <w:t>T</w:t>
            </w:r>
            <w:r w:rsidRPr="007F55F0">
              <w:rPr>
                <w:rFonts w:ascii="Arial" w:hAnsi="Arial" w:cs="Arial"/>
                <w:color w:val="262626"/>
                <w:sz w:val="24"/>
                <w:szCs w:val="24"/>
              </w:rPr>
              <w:t>he rate of interest can be calculated in two different ways. While a reducing rate is based on your outstanding balance, a flat rate charges on your principal amount for the duration of the term. Mortgages can be advertised using either method so compare like for like.</w:t>
            </w:r>
            <w:r w:rsidRPr="007F55F0">
              <w:rPr>
                <w:rFonts w:ascii="Arial" w:hAnsi="Arial" w:cs="Arial"/>
                <w:color w:val="262626"/>
                <w:sz w:val="24"/>
                <w:szCs w:val="24"/>
              </w:rPr>
              <w:t xml:space="preserve"> </w:t>
            </w:r>
            <w:r w:rsidRPr="007F55F0">
              <w:rPr>
                <w:rFonts w:ascii="Arial" w:hAnsi="Arial" w:cs="Arial"/>
                <w:color w:val="262626"/>
                <w:sz w:val="24"/>
                <w:szCs w:val="24"/>
              </w:rPr>
              <w:t>Other fees incl</w:t>
            </w:r>
            <w:r w:rsidRPr="007F55F0">
              <w:rPr>
                <w:rFonts w:ascii="Arial" w:hAnsi="Arial" w:cs="Arial"/>
                <w:color w:val="262626"/>
                <w:sz w:val="24"/>
                <w:szCs w:val="24"/>
              </w:rPr>
              <w:t>ude a mortgage registration fee</w:t>
            </w:r>
            <w:r w:rsidRPr="007F55F0">
              <w:rPr>
                <w:rFonts w:ascii="Arial" w:hAnsi="Arial" w:cs="Arial"/>
                <w:color w:val="262626"/>
                <w:sz w:val="24"/>
                <w:szCs w:val="24"/>
              </w:rPr>
              <w:t xml:space="preserve"> and an arrangement fee.  Banks can also charge miscellaneous fees such as charges for liability letters or copies or property documents</w:t>
            </w:r>
            <w:r w:rsidRPr="007F55F0">
              <w:rPr>
                <w:rFonts w:ascii="Arial" w:hAnsi="Arial" w:cs="Arial"/>
                <w:color w:val="262626"/>
                <w:sz w:val="24"/>
                <w:szCs w:val="24"/>
              </w:rPr>
              <w:t xml:space="preserve">. </w:t>
            </w:r>
            <w:r w:rsidRPr="007F55F0">
              <w:rPr>
                <w:rFonts w:ascii="Arial" w:hAnsi="Arial" w:cs="Arial"/>
                <w:color w:val="262626"/>
                <w:sz w:val="24"/>
                <w:szCs w:val="24"/>
              </w:rPr>
              <w:t>Also if you choose to pay off your loan early, you can be charged an early settlement fee The advantage here is that the loan becomes cheaper as you gain back interest you would have paid in the future.</w:t>
            </w:r>
          </w:p>
          <w:p w14:paraId="2795F289" w14:textId="7EB05354" w:rsidR="00B96EC0" w:rsidRPr="007F55F0" w:rsidRDefault="00B96EC0" w:rsidP="007F55F0">
            <w:pPr>
              <w:widowControl w:val="0"/>
              <w:autoSpaceDE w:val="0"/>
              <w:autoSpaceDN w:val="0"/>
              <w:adjustRightInd w:val="0"/>
              <w:spacing w:line="276" w:lineRule="auto"/>
              <w:rPr>
                <w:rFonts w:ascii="Arial" w:hAnsi="Arial" w:cs="Arial"/>
                <w:b/>
                <w:bCs/>
                <w:color w:val="262626"/>
                <w:sz w:val="24"/>
                <w:szCs w:val="24"/>
              </w:rPr>
            </w:pPr>
            <w:r w:rsidRPr="007F55F0">
              <w:rPr>
                <w:rFonts w:ascii="Arial" w:hAnsi="Arial" w:cs="Arial"/>
                <w:b/>
                <w:bCs/>
                <w:color w:val="262626"/>
                <w:sz w:val="24"/>
                <w:szCs w:val="24"/>
              </w:rPr>
              <w:t>Islamic mortgage</w:t>
            </w:r>
          </w:p>
          <w:p w14:paraId="7401B02F" w14:textId="77777777" w:rsidR="007F55F0" w:rsidRPr="007F55F0" w:rsidRDefault="00B96EC0" w:rsidP="007F55F0">
            <w:pPr>
              <w:widowControl w:val="0"/>
              <w:autoSpaceDE w:val="0"/>
              <w:autoSpaceDN w:val="0"/>
              <w:adjustRightInd w:val="0"/>
              <w:spacing w:line="276" w:lineRule="auto"/>
              <w:rPr>
                <w:rFonts w:ascii="Arial" w:hAnsi="Arial" w:cs="Arial"/>
                <w:sz w:val="24"/>
                <w:szCs w:val="24"/>
              </w:rPr>
            </w:pPr>
            <w:r w:rsidRPr="007F55F0">
              <w:rPr>
                <w:rFonts w:ascii="Arial" w:hAnsi="Arial" w:cs="Arial"/>
                <w:color w:val="262626"/>
                <w:sz w:val="24"/>
                <w:szCs w:val="24"/>
              </w:rPr>
              <w:t xml:space="preserve">An Islamic home loan works differently. Because Islamic financial institutions are forbidden from earning interest, the bank buys a property on behalf of the customer and re-sells it to them at a profit. The buyer then pays the bank back through monthly installments; this is based on the concept of </w:t>
            </w:r>
            <w:r w:rsidRPr="007F55F0">
              <w:rPr>
                <w:rFonts w:ascii="Arial" w:hAnsi="Arial" w:cs="Arial"/>
                <w:i/>
                <w:iCs/>
                <w:color w:val="262626"/>
                <w:sz w:val="24"/>
                <w:szCs w:val="24"/>
              </w:rPr>
              <w:t>Murabaha</w:t>
            </w:r>
            <w:r w:rsidRPr="007F55F0">
              <w:rPr>
                <w:rFonts w:ascii="Arial" w:hAnsi="Arial" w:cs="Arial"/>
                <w:color w:val="262626"/>
                <w:sz w:val="24"/>
                <w:szCs w:val="24"/>
              </w:rPr>
              <w:t xml:space="preserve">.  Other Islamic concepts applied include </w:t>
            </w:r>
            <w:r w:rsidRPr="007F55F0">
              <w:rPr>
                <w:rFonts w:ascii="Arial" w:hAnsi="Arial" w:cs="Arial"/>
                <w:i/>
                <w:iCs/>
                <w:color w:val="262626"/>
                <w:sz w:val="24"/>
                <w:szCs w:val="24"/>
              </w:rPr>
              <w:t>Ijarah</w:t>
            </w:r>
            <w:r w:rsidRPr="007F55F0">
              <w:rPr>
                <w:rFonts w:ascii="Arial" w:hAnsi="Arial" w:cs="Arial"/>
                <w:color w:val="262626"/>
                <w:sz w:val="24"/>
                <w:szCs w:val="24"/>
              </w:rPr>
              <w:t>, a buy and lease back arrangement, which is useful if buying a property off-plan as no payments are made until the property is completed.</w:t>
            </w:r>
            <w:r w:rsidRPr="007F55F0">
              <w:rPr>
                <w:rFonts w:ascii="Arial" w:hAnsi="Arial" w:cs="Arial"/>
                <w:color w:val="262626"/>
                <w:sz w:val="24"/>
                <w:szCs w:val="24"/>
              </w:rPr>
              <w:t xml:space="preserve"> </w:t>
            </w:r>
            <w:r w:rsidRPr="007F55F0">
              <w:rPr>
                <w:rFonts w:ascii="Arial" w:hAnsi="Arial" w:cs="Arial"/>
                <w:color w:val="262626"/>
                <w:sz w:val="24"/>
                <w:szCs w:val="24"/>
              </w:rPr>
              <w:t>Another advantage of a shariah-compliant home loan is there are no additional interest payments for late payments. However, it may charge a fixed fee. Islamic banks need collateral to protect against default so the property is registered to the bank until all mortgage payments are complete.</w:t>
            </w:r>
            <w:r w:rsidRPr="007F55F0">
              <w:rPr>
                <w:rFonts w:ascii="Arial" w:hAnsi="Arial" w:cs="Arial"/>
                <w:color w:val="262626"/>
                <w:sz w:val="24"/>
                <w:szCs w:val="24"/>
              </w:rPr>
              <w:t xml:space="preserve"> </w:t>
            </w:r>
          </w:p>
          <w:p w14:paraId="0F2505E4" w14:textId="77777777" w:rsidR="007F55F0" w:rsidRPr="007F55F0" w:rsidRDefault="007F55F0" w:rsidP="007F55F0">
            <w:pPr>
              <w:widowControl w:val="0"/>
              <w:autoSpaceDE w:val="0"/>
              <w:autoSpaceDN w:val="0"/>
              <w:adjustRightInd w:val="0"/>
              <w:spacing w:line="276" w:lineRule="auto"/>
              <w:rPr>
                <w:rFonts w:ascii="Arial" w:hAnsi="Arial" w:cs="Arial"/>
                <w:sz w:val="24"/>
                <w:szCs w:val="24"/>
              </w:rPr>
            </w:pPr>
          </w:p>
          <w:p w14:paraId="41FEE31F" w14:textId="4ED40717" w:rsidR="0082382C" w:rsidRPr="007F55F0" w:rsidRDefault="007F55F0" w:rsidP="007F55F0">
            <w:pPr>
              <w:pStyle w:val="ListParagraph"/>
              <w:widowControl w:val="0"/>
              <w:numPr>
                <w:ilvl w:val="0"/>
                <w:numId w:val="9"/>
              </w:numPr>
              <w:autoSpaceDE w:val="0"/>
              <w:autoSpaceDN w:val="0"/>
              <w:adjustRightInd w:val="0"/>
              <w:rPr>
                <w:rFonts w:ascii="Arial" w:hAnsi="Arial" w:cs="Arial"/>
                <w:sz w:val="24"/>
                <w:szCs w:val="24"/>
              </w:rPr>
            </w:pPr>
            <w:bookmarkStart w:id="0" w:name="_GoBack"/>
            <w:bookmarkEnd w:id="0"/>
            <w:r w:rsidRPr="007F55F0">
              <w:rPr>
                <w:rFonts w:ascii="Arial" w:hAnsi="Arial" w:cs="Arial"/>
                <w:sz w:val="24"/>
                <w:szCs w:val="24"/>
              </w:rPr>
              <w:t>I</w:t>
            </w:r>
            <w:r w:rsidRPr="007F55F0">
              <w:rPr>
                <w:rFonts w:ascii="Arial" w:hAnsi="Arial" w:cs="Arial"/>
                <w:sz w:val="24"/>
                <w:szCs w:val="24"/>
              </w:rPr>
              <w:t>f the client fails to make a deferred payment on time, the mark-up does not increase from the agreed price owing to delay. Also the bank owns the goods between the two sales, which means it carries the associated risks.</w:t>
            </w:r>
          </w:p>
          <w:p w14:paraId="06892AB6" w14:textId="77777777" w:rsidR="00CC2FB3" w:rsidRDefault="00CC2FB3" w:rsidP="007F55F0">
            <w:pPr>
              <w:spacing w:line="276" w:lineRule="auto"/>
              <w:rPr>
                <w:b/>
              </w:rPr>
            </w:pPr>
          </w:p>
          <w:p w14:paraId="57383F6A" w14:textId="77777777" w:rsidR="00CC2FB3" w:rsidRDefault="00CC2FB3" w:rsidP="007F55F0">
            <w:pPr>
              <w:spacing w:line="276" w:lineRule="auto"/>
              <w:rPr>
                <w:b/>
              </w:rPr>
            </w:pPr>
          </w:p>
        </w:tc>
      </w:tr>
    </w:tbl>
    <w:p w14:paraId="3B69A7A4" w14:textId="7681D42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F511FE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642059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DDE14F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BD6A1F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4106BF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50A46C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2"/>
        <w:gridCol w:w="1250"/>
        <w:gridCol w:w="1605"/>
      </w:tblGrid>
      <w:tr w:rsidR="00405895" w:rsidRPr="00B0415E" w14:paraId="0AB1BE9E" w14:textId="77777777" w:rsidTr="00405895">
        <w:tc>
          <w:tcPr>
            <w:tcW w:w="2310" w:type="dxa"/>
            <w:shd w:val="clear" w:color="auto" w:fill="D9D9D9" w:themeFill="background1" w:themeFillShade="D9"/>
          </w:tcPr>
          <w:p w14:paraId="664A4A1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B090941" w14:textId="77777777" w:rsidR="00405895" w:rsidRPr="00B0415E" w:rsidRDefault="0082382C" w:rsidP="00A851DA">
            <w:pPr>
              <w:rPr>
                <w:rFonts w:cs="Bliss-Regular"/>
                <w:color w:val="000000"/>
              </w:rPr>
            </w:pPr>
            <w:r>
              <w:rPr>
                <w:rFonts w:cs="Bliss-Regular"/>
                <w:color w:val="000000"/>
              </w:rPr>
              <w:t>Ksenia Migda</w:t>
            </w:r>
          </w:p>
        </w:tc>
        <w:tc>
          <w:tcPr>
            <w:tcW w:w="1276" w:type="dxa"/>
            <w:shd w:val="clear" w:color="auto" w:fill="D9D9D9" w:themeFill="background1" w:themeFillShade="D9"/>
          </w:tcPr>
          <w:p w14:paraId="34B4E59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AD8D00A" w14:textId="22FEF637" w:rsidR="00405895" w:rsidRPr="00B0415E" w:rsidRDefault="007F55F0" w:rsidP="00A851DA">
            <w:pPr>
              <w:rPr>
                <w:rFonts w:cs="Bliss-Regular"/>
                <w:color w:val="000000"/>
              </w:rPr>
            </w:pPr>
            <w:r>
              <w:rPr>
                <w:rFonts w:cs="Bliss-Regular"/>
                <w:color w:val="000000"/>
              </w:rPr>
              <w:t>20</w:t>
            </w:r>
            <w:r w:rsidR="0082382C">
              <w:rPr>
                <w:rFonts w:cs="Bliss-Regular"/>
                <w:color w:val="000000"/>
              </w:rPr>
              <w:t>.03.2017</w:t>
            </w:r>
          </w:p>
        </w:tc>
      </w:tr>
    </w:tbl>
    <w:p w14:paraId="5FEA629A" w14:textId="77777777" w:rsidR="00A851DA" w:rsidRPr="00B0415E" w:rsidRDefault="00A851DA" w:rsidP="00A851DA">
      <w:pPr>
        <w:rPr>
          <w:rFonts w:cs="Bliss-Regular"/>
          <w:color w:val="000000"/>
          <w:lang w:val="en-US"/>
        </w:rPr>
      </w:pPr>
    </w:p>
    <w:p w14:paraId="3DD5986B" w14:textId="77777777" w:rsidR="00A851DA" w:rsidRPr="00B0415E" w:rsidRDefault="00A851DA" w:rsidP="00A851DA">
      <w:pPr>
        <w:rPr>
          <w:rFonts w:cs="Bliss-Regular"/>
          <w:color w:val="000000"/>
          <w:lang w:val="en-US"/>
        </w:rPr>
      </w:pPr>
    </w:p>
    <w:p w14:paraId="46451EF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A64CCB6" w14:textId="77777777" w:rsidTr="00B0415E">
        <w:trPr>
          <w:trHeight w:val="249"/>
        </w:trPr>
        <w:tc>
          <w:tcPr>
            <w:tcW w:w="4621" w:type="dxa"/>
            <w:shd w:val="clear" w:color="auto" w:fill="D9D9D9" w:themeFill="background1" w:themeFillShade="D9"/>
          </w:tcPr>
          <w:p w14:paraId="64C2626A" w14:textId="77777777" w:rsidR="00503D7E" w:rsidRPr="00B0415E" w:rsidRDefault="00503D7E" w:rsidP="00503D7E">
            <w:pPr>
              <w:rPr>
                <w:b/>
                <w:color w:val="002060"/>
              </w:rPr>
            </w:pPr>
            <w:r w:rsidRPr="00B0415E">
              <w:rPr>
                <w:b/>
                <w:color w:val="002060"/>
              </w:rPr>
              <w:t>Total Marks</w:t>
            </w:r>
          </w:p>
        </w:tc>
        <w:tc>
          <w:tcPr>
            <w:tcW w:w="4621" w:type="dxa"/>
          </w:tcPr>
          <w:p w14:paraId="1046778B" w14:textId="77777777" w:rsidR="00503D7E" w:rsidRPr="00B0415E" w:rsidRDefault="00503D7E" w:rsidP="00503D7E">
            <w:pPr>
              <w:rPr>
                <w:rFonts w:cs="Times New Roman"/>
                <w:szCs w:val="32"/>
              </w:rPr>
            </w:pPr>
          </w:p>
        </w:tc>
      </w:tr>
      <w:tr w:rsidR="00503D7E" w:rsidRPr="00B0415E" w14:paraId="7E734CD2" w14:textId="77777777" w:rsidTr="00B0415E">
        <w:tc>
          <w:tcPr>
            <w:tcW w:w="4621" w:type="dxa"/>
            <w:shd w:val="clear" w:color="auto" w:fill="D9D9D9" w:themeFill="background1" w:themeFillShade="D9"/>
          </w:tcPr>
          <w:p w14:paraId="080E4B52" w14:textId="77777777" w:rsidR="00503D7E" w:rsidRPr="00B0415E" w:rsidRDefault="00503D7E" w:rsidP="00503D7E">
            <w:pPr>
              <w:rPr>
                <w:b/>
                <w:color w:val="002060"/>
              </w:rPr>
            </w:pPr>
            <w:r w:rsidRPr="00B0415E">
              <w:rPr>
                <w:b/>
                <w:color w:val="002060"/>
              </w:rPr>
              <w:t>Marks Obtained</w:t>
            </w:r>
          </w:p>
        </w:tc>
        <w:tc>
          <w:tcPr>
            <w:tcW w:w="4621" w:type="dxa"/>
          </w:tcPr>
          <w:p w14:paraId="276C3D2A" w14:textId="77777777" w:rsidR="00503D7E" w:rsidRPr="00B0415E" w:rsidRDefault="00503D7E" w:rsidP="00503D7E">
            <w:pPr>
              <w:rPr>
                <w:rFonts w:cs="Times New Roman"/>
                <w:szCs w:val="32"/>
              </w:rPr>
            </w:pPr>
          </w:p>
        </w:tc>
      </w:tr>
      <w:tr w:rsidR="00503D7E" w:rsidRPr="00B0415E" w14:paraId="35FDD683" w14:textId="77777777" w:rsidTr="00B0415E">
        <w:tc>
          <w:tcPr>
            <w:tcW w:w="4621" w:type="dxa"/>
            <w:shd w:val="clear" w:color="auto" w:fill="D9D9D9" w:themeFill="background1" w:themeFillShade="D9"/>
          </w:tcPr>
          <w:p w14:paraId="285708F4" w14:textId="77777777" w:rsidR="00503D7E" w:rsidRPr="00B0415E" w:rsidRDefault="00B0415E" w:rsidP="00503D7E">
            <w:pPr>
              <w:rPr>
                <w:b/>
                <w:color w:val="002060"/>
              </w:rPr>
            </w:pPr>
            <w:r w:rsidRPr="00B0415E">
              <w:rPr>
                <w:b/>
                <w:color w:val="002060"/>
              </w:rPr>
              <w:t>Percentage / Grade</w:t>
            </w:r>
          </w:p>
        </w:tc>
        <w:tc>
          <w:tcPr>
            <w:tcW w:w="4621" w:type="dxa"/>
          </w:tcPr>
          <w:p w14:paraId="2DFF4B70" w14:textId="77777777" w:rsidR="00503D7E" w:rsidRPr="00B0415E" w:rsidRDefault="00503D7E" w:rsidP="00503D7E">
            <w:pPr>
              <w:rPr>
                <w:rFonts w:cs="Times New Roman"/>
                <w:szCs w:val="32"/>
              </w:rPr>
            </w:pPr>
          </w:p>
        </w:tc>
      </w:tr>
    </w:tbl>
    <w:p w14:paraId="661B3CB9" w14:textId="77777777" w:rsidR="00A851DA" w:rsidRDefault="00A851DA" w:rsidP="00503D7E">
      <w:pPr>
        <w:rPr>
          <w:rFonts w:cs="Times New Roman"/>
          <w:sz w:val="24"/>
          <w:szCs w:val="32"/>
        </w:rPr>
      </w:pPr>
    </w:p>
    <w:p w14:paraId="3DF57CF1" w14:textId="77777777" w:rsidR="00607874" w:rsidRDefault="00607874" w:rsidP="00503D7E">
      <w:pPr>
        <w:rPr>
          <w:rFonts w:cs="Times New Roman"/>
          <w:sz w:val="24"/>
          <w:szCs w:val="32"/>
        </w:rPr>
      </w:pPr>
    </w:p>
    <w:p w14:paraId="0DC70D6F" w14:textId="77777777" w:rsidR="00607874" w:rsidRDefault="00607874" w:rsidP="00503D7E">
      <w:pPr>
        <w:rPr>
          <w:rFonts w:cs="Times New Roman"/>
          <w:sz w:val="24"/>
          <w:szCs w:val="32"/>
        </w:rPr>
      </w:pPr>
    </w:p>
    <w:p w14:paraId="285B13AC" w14:textId="77777777" w:rsidR="00607874" w:rsidRDefault="00607874" w:rsidP="00503D7E">
      <w:pPr>
        <w:rPr>
          <w:rFonts w:cs="Times New Roman"/>
          <w:sz w:val="24"/>
          <w:szCs w:val="32"/>
        </w:rPr>
      </w:pPr>
    </w:p>
    <w:p w14:paraId="490E77BD" w14:textId="77777777" w:rsidR="00607874" w:rsidRDefault="00607874" w:rsidP="00503D7E">
      <w:pPr>
        <w:rPr>
          <w:rFonts w:cs="Times New Roman"/>
          <w:sz w:val="24"/>
          <w:szCs w:val="32"/>
        </w:rPr>
      </w:pPr>
    </w:p>
    <w:p w14:paraId="4B1467B9" w14:textId="77777777" w:rsidR="00607874" w:rsidRDefault="00607874" w:rsidP="00503D7E">
      <w:pPr>
        <w:rPr>
          <w:rFonts w:cs="Times New Roman"/>
          <w:sz w:val="24"/>
          <w:szCs w:val="32"/>
        </w:rPr>
      </w:pPr>
    </w:p>
    <w:p w14:paraId="68DC0AC8" w14:textId="77777777" w:rsidR="00607874" w:rsidRDefault="00607874" w:rsidP="00503D7E">
      <w:pPr>
        <w:rPr>
          <w:rFonts w:cs="Times New Roman"/>
          <w:sz w:val="24"/>
          <w:szCs w:val="32"/>
        </w:rPr>
      </w:pPr>
    </w:p>
    <w:p w14:paraId="5C968E0B" w14:textId="77777777" w:rsidR="00607874" w:rsidRDefault="00607874" w:rsidP="00503D7E">
      <w:pPr>
        <w:rPr>
          <w:rFonts w:cs="Times New Roman"/>
          <w:sz w:val="24"/>
          <w:szCs w:val="32"/>
        </w:rPr>
      </w:pPr>
    </w:p>
    <w:p w14:paraId="16D431B6" w14:textId="77777777" w:rsidR="00EA30AB" w:rsidRDefault="00EA30AB" w:rsidP="00503D7E">
      <w:pPr>
        <w:rPr>
          <w:rFonts w:cs="Times New Roman"/>
          <w:sz w:val="24"/>
          <w:szCs w:val="32"/>
        </w:rPr>
      </w:pPr>
    </w:p>
    <w:p w14:paraId="6583D44E" w14:textId="77777777" w:rsidR="00EA30AB" w:rsidRDefault="00EA30AB" w:rsidP="00503D7E">
      <w:pPr>
        <w:rPr>
          <w:rFonts w:cs="Times New Roman"/>
          <w:sz w:val="24"/>
          <w:szCs w:val="32"/>
        </w:rPr>
      </w:pPr>
    </w:p>
    <w:p w14:paraId="0D748F3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4988BC" w14:textId="77777777" w:rsidR="00884782" w:rsidRDefault="00884782" w:rsidP="00CB4D0A">
      <w:pPr>
        <w:spacing w:after="0" w:line="240" w:lineRule="auto"/>
      </w:pPr>
      <w:r>
        <w:separator/>
      </w:r>
    </w:p>
  </w:endnote>
  <w:endnote w:type="continuationSeparator" w:id="0">
    <w:p w14:paraId="6D2F0451" w14:textId="77777777" w:rsidR="00884782" w:rsidRDefault="0088478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MS Mincho">
    <w:panose1 w:val="02020609040205080304"/>
    <w:charset w:val="80"/>
    <w:family w:val="auto"/>
    <w:pitch w:val="variable"/>
    <w:sig w:usb0="E00002FF" w:usb1="6AC7FDFB" w:usb2="08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4DC219" w14:textId="77777777" w:rsidR="00884782" w:rsidRDefault="00884782" w:rsidP="00CB4D0A">
      <w:pPr>
        <w:spacing w:after="0" w:line="240" w:lineRule="auto"/>
      </w:pPr>
      <w:r>
        <w:separator/>
      </w:r>
    </w:p>
  </w:footnote>
  <w:footnote w:type="continuationSeparator" w:id="0">
    <w:p w14:paraId="0E5158F7" w14:textId="77777777" w:rsidR="00884782" w:rsidRDefault="00884782"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decimal"/>
      <w:lvlText w:val="%1."/>
      <w:lvlJc w:val="left"/>
      <w:pPr>
        <w:ind w:left="720" w:hanging="360"/>
      </w:pPr>
    </w:lvl>
    <w:lvl w:ilvl="1" w:tplc="00000002">
      <w:start w:val="1"/>
      <w:numFmt w:val="lowerRoman"/>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4FC572D"/>
    <w:multiLevelType w:val="hybridMultilevel"/>
    <w:tmpl w:val="2F646E84"/>
    <w:lvl w:ilvl="0" w:tplc="44527118">
      <w:start w:val="2"/>
      <w:numFmt w:val="decimal"/>
      <w:lvlText w:val="%1."/>
      <w:lvlJc w:val="left"/>
      <w:pPr>
        <w:ind w:left="720" w:hanging="360"/>
      </w:pPr>
      <w:rPr>
        <w:rFonts w:ascii="Arial" w:hAnsi="Arial"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CF3D11"/>
    <w:multiLevelType w:val="hybridMultilevel"/>
    <w:tmpl w:val="796A4E76"/>
    <w:lvl w:ilvl="0" w:tplc="3F54E854">
      <w:start w:val="1"/>
      <w:numFmt w:val="lowerLetter"/>
      <w:lvlText w:val="%1)"/>
      <w:lvlJc w:val="left"/>
      <w:pPr>
        <w:ind w:left="720" w:hanging="360"/>
      </w:pPr>
      <w:rPr>
        <w:rFonts w:hint="default"/>
        <w:color w:val="2626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1D2C6A"/>
    <w:multiLevelType w:val="hybridMultilevel"/>
    <w:tmpl w:val="50E4C3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590313"/>
    <w:multiLevelType w:val="multilevel"/>
    <w:tmpl w:val="4B84634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color w:val="C0000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2D641C91"/>
    <w:multiLevelType w:val="hybridMultilevel"/>
    <w:tmpl w:val="796A4E76"/>
    <w:lvl w:ilvl="0" w:tplc="3F54E854">
      <w:start w:val="1"/>
      <w:numFmt w:val="lowerLetter"/>
      <w:lvlText w:val="%1)"/>
      <w:lvlJc w:val="left"/>
      <w:pPr>
        <w:ind w:left="720" w:hanging="360"/>
      </w:pPr>
      <w:rPr>
        <w:rFonts w:hint="default"/>
        <w:color w:val="2626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E5365CB"/>
    <w:multiLevelType w:val="hybridMultilevel"/>
    <w:tmpl w:val="4EAEB9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8F72650"/>
    <w:multiLevelType w:val="hybridMultilevel"/>
    <w:tmpl w:val="2B0CC1DC"/>
    <w:lvl w:ilvl="0" w:tplc="94AC2A56">
      <w:start w:val="1"/>
      <w:numFmt w:val="lowerLetter"/>
      <w:lvlText w:val="%1)"/>
      <w:lvlJc w:val="left"/>
      <w:pPr>
        <w:ind w:left="720" w:hanging="360"/>
      </w:pPr>
      <w:rPr>
        <w:rFonts w:hint="default"/>
        <w:b w:val="0"/>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C2A5055"/>
    <w:multiLevelType w:val="hybridMultilevel"/>
    <w:tmpl w:val="437A104E"/>
    <w:lvl w:ilvl="0" w:tplc="9636FC78">
      <w:start w:val="2"/>
      <w:numFmt w:val="decimal"/>
      <w:lvlText w:val="%1."/>
      <w:lvlJc w:val="left"/>
      <w:pPr>
        <w:ind w:left="1080" w:hanging="360"/>
      </w:pPr>
      <w:rPr>
        <w:rFonts w:ascii="Arial" w:hAnsi="Arial" w:cs="Arial"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CF342DB"/>
    <w:multiLevelType w:val="hybridMultilevel"/>
    <w:tmpl w:val="64522DA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10"/>
  </w:num>
  <w:num w:numId="4">
    <w:abstractNumId w:val="9"/>
  </w:num>
  <w:num w:numId="5">
    <w:abstractNumId w:val="1"/>
  </w:num>
  <w:num w:numId="6">
    <w:abstractNumId w:val="3"/>
  </w:num>
  <w:num w:numId="7">
    <w:abstractNumId w:val="4"/>
  </w:num>
  <w:num w:numId="8">
    <w:abstractNumId w:val="7"/>
  </w:num>
  <w:num w:numId="9">
    <w:abstractNumId w:val="8"/>
  </w:num>
  <w:num w:numId="10">
    <w:abstractNumId w:val="2"/>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activeWritingStyle w:appName="MSWord" w:lang="en-GB"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6A44"/>
    <w:rsid w:val="00035CDD"/>
    <w:rsid w:val="00040083"/>
    <w:rsid w:val="00055992"/>
    <w:rsid w:val="000820E8"/>
    <w:rsid w:val="001175EE"/>
    <w:rsid w:val="00157CF6"/>
    <w:rsid w:val="00182416"/>
    <w:rsid w:val="00187EB4"/>
    <w:rsid w:val="001A24DA"/>
    <w:rsid w:val="001F0481"/>
    <w:rsid w:val="00200C92"/>
    <w:rsid w:val="0020451E"/>
    <w:rsid w:val="002047E0"/>
    <w:rsid w:val="00206B9D"/>
    <w:rsid w:val="0023259C"/>
    <w:rsid w:val="002B0BD7"/>
    <w:rsid w:val="002B573D"/>
    <w:rsid w:val="002C5CB2"/>
    <w:rsid w:val="002F779F"/>
    <w:rsid w:val="00371885"/>
    <w:rsid w:val="003D1EF9"/>
    <w:rsid w:val="003E2B87"/>
    <w:rsid w:val="00402786"/>
    <w:rsid w:val="00405895"/>
    <w:rsid w:val="004058DF"/>
    <w:rsid w:val="00443E6F"/>
    <w:rsid w:val="00486F1A"/>
    <w:rsid w:val="00490CB9"/>
    <w:rsid w:val="004A2CE2"/>
    <w:rsid w:val="004E3CDA"/>
    <w:rsid w:val="004F4B4D"/>
    <w:rsid w:val="0050216D"/>
    <w:rsid w:val="00503D7E"/>
    <w:rsid w:val="00506C22"/>
    <w:rsid w:val="0050778F"/>
    <w:rsid w:val="00527C11"/>
    <w:rsid w:val="00535F31"/>
    <w:rsid w:val="00574D64"/>
    <w:rsid w:val="00591365"/>
    <w:rsid w:val="005B31E4"/>
    <w:rsid w:val="006034F6"/>
    <w:rsid w:val="00607874"/>
    <w:rsid w:val="00607E77"/>
    <w:rsid w:val="00617BB3"/>
    <w:rsid w:val="00630DB6"/>
    <w:rsid w:val="00645CDD"/>
    <w:rsid w:val="006823A7"/>
    <w:rsid w:val="00687EE8"/>
    <w:rsid w:val="0070347F"/>
    <w:rsid w:val="0070678E"/>
    <w:rsid w:val="007F55F0"/>
    <w:rsid w:val="0082382C"/>
    <w:rsid w:val="00831C11"/>
    <w:rsid w:val="00884782"/>
    <w:rsid w:val="008A60B4"/>
    <w:rsid w:val="008B3C31"/>
    <w:rsid w:val="008B64FE"/>
    <w:rsid w:val="00935BF7"/>
    <w:rsid w:val="00942EA9"/>
    <w:rsid w:val="0095442C"/>
    <w:rsid w:val="00983942"/>
    <w:rsid w:val="009C37E0"/>
    <w:rsid w:val="009E41F4"/>
    <w:rsid w:val="00A14B66"/>
    <w:rsid w:val="00A65CF7"/>
    <w:rsid w:val="00A81AB4"/>
    <w:rsid w:val="00A851DA"/>
    <w:rsid w:val="00AC7D5B"/>
    <w:rsid w:val="00AE1481"/>
    <w:rsid w:val="00B0415E"/>
    <w:rsid w:val="00B04678"/>
    <w:rsid w:val="00B26713"/>
    <w:rsid w:val="00B96EC0"/>
    <w:rsid w:val="00BC46DF"/>
    <w:rsid w:val="00BE0887"/>
    <w:rsid w:val="00C03577"/>
    <w:rsid w:val="00C32AD3"/>
    <w:rsid w:val="00C53029"/>
    <w:rsid w:val="00C65FEA"/>
    <w:rsid w:val="00CA0AC2"/>
    <w:rsid w:val="00CB4D0A"/>
    <w:rsid w:val="00CC2FB3"/>
    <w:rsid w:val="00CC575A"/>
    <w:rsid w:val="00CF123B"/>
    <w:rsid w:val="00D039AC"/>
    <w:rsid w:val="00D427DE"/>
    <w:rsid w:val="00D5587D"/>
    <w:rsid w:val="00D56E89"/>
    <w:rsid w:val="00D707CC"/>
    <w:rsid w:val="00D821FE"/>
    <w:rsid w:val="00DB0793"/>
    <w:rsid w:val="00E00821"/>
    <w:rsid w:val="00E04DB4"/>
    <w:rsid w:val="00E30679"/>
    <w:rsid w:val="00E4597D"/>
    <w:rsid w:val="00E54832"/>
    <w:rsid w:val="00E56A90"/>
    <w:rsid w:val="00E641CC"/>
    <w:rsid w:val="00E66D64"/>
    <w:rsid w:val="00EA30AB"/>
    <w:rsid w:val="00EB3925"/>
    <w:rsid w:val="00F96EB3"/>
    <w:rsid w:val="00FE383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D1548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42E6E-3C72-C248-9EB0-377A23785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955</Words>
  <Characters>5447</Characters>
  <Application>Microsoft Macintosh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4</cp:revision>
  <dcterms:created xsi:type="dcterms:W3CDTF">2017-03-20T12:29:00Z</dcterms:created>
  <dcterms:modified xsi:type="dcterms:W3CDTF">2017-03-20T13:21:00Z</dcterms:modified>
</cp:coreProperties>
</file>