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25DF" w:rsidRPr="00B0415E" w:rsidRDefault="00A825DF" w:rsidP="00A825DF">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92032" behindDoc="0" locked="0" layoutInCell="1" allowOverlap="1" wp14:anchorId="0BFD403E" wp14:editId="0D9643FF">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Pr="00B0415E">
        <w:rPr>
          <w:rFonts w:asciiTheme="minorHAnsi" w:hAnsiTheme="minorHAnsi"/>
        </w:rPr>
        <w:t xml:space="preserve">                                                                  </w:t>
      </w:r>
    </w:p>
    <w:p w:rsidR="00A825DF" w:rsidRDefault="00A825DF" w:rsidP="00A825DF">
      <w:pPr>
        <w:rPr>
          <w:lang w:val="en-US"/>
        </w:rPr>
      </w:pPr>
      <w:r>
        <w:rPr>
          <w:noProof/>
          <w:lang w:eastAsia="en-GB"/>
        </w:rPr>
        <mc:AlternateContent>
          <mc:Choice Requires="wps">
            <w:drawing>
              <wp:anchor distT="0" distB="0" distL="114300" distR="114300" simplePos="0" relativeHeight="251693056"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A825DF" w:rsidRDefault="00A825DF" w:rsidP="00A825DF">
                            <w:pPr>
                              <w:jc w:val="center"/>
                              <w:rPr>
                                <w:b/>
                                <w:bCs/>
                                <w:color w:val="002060"/>
                                <w:sz w:val="44"/>
                                <w:szCs w:val="40"/>
                              </w:rPr>
                            </w:pPr>
                            <w:r>
                              <w:t xml:space="preserve">   </w:t>
                            </w:r>
                            <w:r>
                              <w:rPr>
                                <w:b/>
                                <w:bCs/>
                                <w:color w:val="002060"/>
                                <w:sz w:val="44"/>
                                <w:szCs w:val="40"/>
                              </w:rPr>
                              <w:t>Assignment Cover Sheet</w:t>
                            </w:r>
                          </w:p>
                          <w:p w:rsidR="00A825DF" w:rsidRDefault="00A825DF" w:rsidP="00A825DF"/>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margin-left:227.55pt;margin-top:7.85pt;width:245.2pt;height:36.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NV6Oi+C&#10;AgAAEQUAAA4AAAAAAAAAAAAAAAAALgIAAGRycy9lMm9Eb2MueG1sUEsBAi0AFAAGAAgAAAAhACnE&#10;2FvdAAAACQEAAA8AAAAAAAAAAAAAAAAA3AQAAGRycy9kb3ducmV2LnhtbFBLBQYAAAAABAAEAPMA&#10;AADmBQAAAAA=&#10;" stroked="f">
                <v:textbox>
                  <w:txbxContent>
                    <w:p w:rsidR="00A825DF" w:rsidRDefault="00A825DF" w:rsidP="00A825DF">
                      <w:pPr>
                        <w:jc w:val="center"/>
                        <w:rPr>
                          <w:b/>
                          <w:bCs/>
                          <w:color w:val="002060"/>
                          <w:sz w:val="44"/>
                          <w:szCs w:val="40"/>
                        </w:rPr>
                      </w:pPr>
                      <w:r>
                        <w:t xml:space="preserve">   </w:t>
                      </w:r>
                      <w:r>
                        <w:rPr>
                          <w:b/>
                          <w:bCs/>
                          <w:color w:val="002060"/>
                          <w:sz w:val="44"/>
                          <w:szCs w:val="40"/>
                        </w:rPr>
                        <w:t>Assignment Cover Sheet</w:t>
                      </w:r>
                    </w:p>
                    <w:p w:rsidR="00A825DF" w:rsidRDefault="00A825DF" w:rsidP="00A825DF"/>
                  </w:txbxContent>
                </v:textbox>
              </v:shape>
            </w:pict>
          </mc:Fallback>
        </mc:AlternateContent>
      </w:r>
    </w:p>
    <w:p w:rsidR="00A825DF" w:rsidRDefault="00A825DF" w:rsidP="00A825DF">
      <w:pPr>
        <w:rPr>
          <w:lang w:val="en-US"/>
        </w:rPr>
      </w:pPr>
    </w:p>
    <w:p w:rsidR="00A825DF" w:rsidRDefault="00A825DF" w:rsidP="00A825DF">
      <w:pPr>
        <w:rPr>
          <w:lang w:val="en-US"/>
        </w:rPr>
      </w:pPr>
    </w:p>
    <w:p w:rsidR="00A825DF" w:rsidRDefault="00A825DF" w:rsidP="00A825DF">
      <w:pPr>
        <w:rPr>
          <w:lang w:val="en-US"/>
        </w:rPr>
      </w:pPr>
    </w:p>
    <w:tbl>
      <w:tblPr>
        <w:tblStyle w:val="TableGrid"/>
        <w:tblW w:w="0" w:type="auto"/>
        <w:tblLook w:val="04A0" w:firstRow="1" w:lastRow="0" w:firstColumn="1" w:lastColumn="0" w:noHBand="0" w:noVBand="1"/>
      </w:tblPr>
      <w:tblGrid>
        <w:gridCol w:w="2566"/>
        <w:gridCol w:w="6676"/>
      </w:tblGrid>
      <w:tr w:rsidR="00A825DF" w:rsidRPr="00B0415E" w:rsidTr="00AE376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25DF" w:rsidRPr="00B0415E" w:rsidRDefault="00A825DF" w:rsidP="00AE376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25DF" w:rsidRPr="00B0415E" w:rsidRDefault="00A825DF" w:rsidP="00AE376A">
            <w:pPr>
              <w:pStyle w:val="Default"/>
              <w:rPr>
                <w:rFonts w:asciiTheme="minorHAnsi" w:hAnsiTheme="minorHAnsi"/>
              </w:rPr>
            </w:pPr>
            <w:r>
              <w:rPr>
                <w:rFonts w:asciiTheme="minorHAnsi" w:hAnsiTheme="minorHAnsi"/>
              </w:rPr>
              <w:t>Stuart Clark</w:t>
            </w:r>
          </w:p>
        </w:tc>
      </w:tr>
      <w:tr w:rsidR="00A825DF" w:rsidRPr="00B0415E" w:rsidTr="00AE376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25DF" w:rsidRPr="00B0415E" w:rsidRDefault="00A825DF" w:rsidP="00AE376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25DF" w:rsidRPr="00B0415E" w:rsidRDefault="00A825DF" w:rsidP="00AE376A">
            <w:pPr>
              <w:pStyle w:val="Default"/>
              <w:rPr>
                <w:rFonts w:asciiTheme="minorHAnsi" w:hAnsiTheme="minorHAnsi"/>
              </w:rPr>
            </w:pPr>
            <w:r w:rsidRPr="00607719">
              <w:rPr>
                <w:rFonts w:asciiTheme="minorHAnsi" w:hAnsiTheme="minorHAnsi"/>
              </w:rPr>
              <w:t>28519</w:t>
            </w:r>
          </w:p>
        </w:tc>
      </w:tr>
      <w:tr w:rsidR="00A825DF" w:rsidRPr="00B0415E" w:rsidTr="00AE376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25DF" w:rsidRPr="00B0415E" w:rsidRDefault="00A825DF" w:rsidP="00AE376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25DF" w:rsidRPr="00B0415E" w:rsidRDefault="00A825DF" w:rsidP="00AE376A">
            <w:pPr>
              <w:pStyle w:val="Default"/>
              <w:rPr>
                <w:rFonts w:asciiTheme="minorHAnsi" w:hAnsiTheme="minorHAnsi"/>
              </w:rPr>
            </w:pPr>
            <w:r w:rsidRPr="00607719">
              <w:rPr>
                <w:rFonts w:asciiTheme="minorHAnsi" w:hAnsiTheme="minorHAnsi"/>
              </w:rPr>
              <w:t>Certificate in Environmental Management Level 3</w:t>
            </w:r>
          </w:p>
        </w:tc>
      </w:tr>
      <w:tr w:rsidR="00A825DF" w:rsidRPr="00B0415E" w:rsidTr="00AE376A">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25DF" w:rsidRPr="00B0415E" w:rsidRDefault="00A825DF" w:rsidP="00AE376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25DF" w:rsidRPr="00B0415E" w:rsidRDefault="00891AEF" w:rsidP="00AE376A">
            <w:r>
              <w:t>2</w:t>
            </w:r>
          </w:p>
        </w:tc>
      </w:tr>
    </w:tbl>
    <w:p w:rsidR="00A825DF" w:rsidRDefault="00A825DF" w:rsidP="00A825DF">
      <w:pPr>
        <w:rPr>
          <w:b/>
          <w:lang w:val="en-US"/>
        </w:rPr>
      </w:pPr>
    </w:p>
    <w:p w:rsidR="00A825DF" w:rsidRDefault="00A825DF" w:rsidP="00A825DF">
      <w:pPr>
        <w:rPr>
          <w:b/>
          <w:sz w:val="28"/>
          <w:lang w:val="en-US"/>
        </w:rPr>
      </w:pPr>
      <w:r w:rsidRPr="00443E6F">
        <w:rPr>
          <w:b/>
          <w:sz w:val="28"/>
          <w:lang w:val="en-US"/>
        </w:rPr>
        <w:t>Marking Criteria:</w:t>
      </w:r>
    </w:p>
    <w:p w:rsidR="00A825DF" w:rsidRDefault="00A825DF" w:rsidP="00A825DF">
      <w:pPr>
        <w:rPr>
          <w:lang w:val="en-US"/>
        </w:rPr>
      </w:pPr>
      <w:r>
        <w:rPr>
          <w:b/>
          <w:lang w:val="en-US"/>
        </w:rPr>
        <w:t xml:space="preserve"> </w:t>
      </w:r>
      <w:r w:rsidRPr="00443E6F">
        <w:rPr>
          <w:lang w:val="en-US"/>
        </w:rPr>
        <w:t>We expect the learners to write minimum one well expressed point in three lines</w:t>
      </w:r>
      <w:r>
        <w:rPr>
          <w:lang w:val="en-US"/>
        </w:rPr>
        <w:t xml:space="preserve"> against each allocated mark. This means one needs to write 15 lines with 5 well expressed points to get high grades for a 5 marks question.</w:t>
      </w:r>
    </w:p>
    <w:p w:rsidR="00A825DF" w:rsidRPr="00443E6F" w:rsidRDefault="00A825DF" w:rsidP="00A825DF">
      <w:pPr>
        <w:rPr>
          <w:lang w:val="en-US"/>
        </w:rPr>
      </w:pPr>
      <w:r>
        <w:rPr>
          <w:lang w:val="en-US"/>
        </w:rPr>
        <w:t xml:space="preserve">For high grades use </w:t>
      </w:r>
      <w:r w:rsidRPr="00443E6F">
        <w:rPr>
          <w:lang w:val="en-US"/>
        </w:rPr>
        <w:t>examples and illustrations where appropriate</w:t>
      </w:r>
      <w:r>
        <w:rPr>
          <w:lang w:val="en-US"/>
        </w:rPr>
        <w:t xml:space="preserve">. </w:t>
      </w:r>
    </w:p>
    <w:tbl>
      <w:tblPr>
        <w:tblStyle w:val="TableGrid"/>
        <w:tblW w:w="9111" w:type="dxa"/>
        <w:tblLook w:val="04A0" w:firstRow="1" w:lastRow="0" w:firstColumn="1" w:lastColumn="0" w:noHBand="0" w:noVBand="1"/>
      </w:tblPr>
      <w:tblGrid>
        <w:gridCol w:w="9111"/>
      </w:tblGrid>
      <w:tr w:rsidR="00A825DF" w:rsidTr="00CC6D74">
        <w:trPr>
          <w:trHeight w:val="3287"/>
        </w:trPr>
        <w:tc>
          <w:tcPr>
            <w:tcW w:w="9111" w:type="dxa"/>
          </w:tcPr>
          <w:p w:rsidR="00A825DF" w:rsidRDefault="00A825DF" w:rsidP="00AE376A">
            <w:pPr>
              <w:rPr>
                <w:b/>
              </w:rPr>
            </w:pPr>
          </w:p>
        </w:tc>
      </w:tr>
    </w:tbl>
    <w:p w:rsidR="00A825DF" w:rsidRPr="00B0415E" w:rsidRDefault="00A825DF" w:rsidP="00A825DF">
      <w:pPr>
        <w:autoSpaceDE w:val="0"/>
        <w:autoSpaceDN w:val="0"/>
        <w:adjustRightInd w:val="0"/>
        <w:spacing w:after="0" w:line="240" w:lineRule="auto"/>
        <w:rPr>
          <w:rFonts w:cs="CalvertMT-Bold"/>
          <w:b/>
          <w:bCs/>
          <w:color w:val="002060"/>
          <w:sz w:val="28"/>
          <w:lang w:val="en-US"/>
        </w:rPr>
      </w:pPr>
    </w:p>
    <w:p w:rsidR="00A825DF" w:rsidRPr="00B0415E" w:rsidRDefault="00A825DF" w:rsidP="00A825DF">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Pr="00B0415E">
        <w:rPr>
          <w:rFonts w:cs="CalvertMT-Bold"/>
          <w:b/>
          <w:bCs/>
          <w:color w:val="002060"/>
          <w:sz w:val="28"/>
          <w:lang w:val="en-US"/>
        </w:rPr>
        <w:t xml:space="preserve"> Statement:</w:t>
      </w:r>
    </w:p>
    <w:p w:rsidR="00A825DF" w:rsidRPr="00B0415E" w:rsidRDefault="00A825DF" w:rsidP="00A825DF">
      <w:pPr>
        <w:autoSpaceDE w:val="0"/>
        <w:autoSpaceDN w:val="0"/>
        <w:adjustRightInd w:val="0"/>
        <w:spacing w:after="0" w:line="240" w:lineRule="auto"/>
        <w:rPr>
          <w:rFonts w:cs="CalvertMT-Bold"/>
          <w:b/>
          <w:bCs/>
          <w:color w:val="001AE6"/>
          <w:lang w:val="en-US"/>
        </w:rPr>
      </w:pPr>
    </w:p>
    <w:p w:rsidR="00A825DF" w:rsidRPr="00B0415E" w:rsidRDefault="00A825DF" w:rsidP="00A825DF">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25DF" w:rsidRPr="00B0415E" w:rsidRDefault="00A825DF" w:rsidP="00A825DF">
      <w:pPr>
        <w:autoSpaceDE w:val="0"/>
        <w:autoSpaceDN w:val="0"/>
        <w:adjustRightInd w:val="0"/>
        <w:spacing w:after="0" w:line="240" w:lineRule="auto"/>
        <w:rPr>
          <w:rFonts w:cs="Bliss-Regular"/>
          <w:color w:val="000000"/>
          <w:lang w:val="en-US"/>
        </w:rPr>
      </w:pPr>
    </w:p>
    <w:p w:rsidR="00A825DF" w:rsidRPr="00B0415E" w:rsidRDefault="00A825DF" w:rsidP="00A825DF">
      <w:pPr>
        <w:autoSpaceDE w:val="0"/>
        <w:autoSpaceDN w:val="0"/>
        <w:adjustRightInd w:val="0"/>
        <w:spacing w:after="0" w:line="240" w:lineRule="auto"/>
        <w:rPr>
          <w:rFonts w:cs="Bliss-Regular"/>
          <w:color w:val="000000"/>
          <w:lang w:val="en-US"/>
        </w:rPr>
      </w:pPr>
    </w:p>
    <w:p w:rsidR="00A825DF" w:rsidRPr="00B0415E" w:rsidRDefault="00A825DF" w:rsidP="00A825DF">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A825DF" w:rsidRPr="00B0415E" w:rsidTr="00AE376A">
        <w:tc>
          <w:tcPr>
            <w:tcW w:w="2310" w:type="dxa"/>
            <w:shd w:val="clear" w:color="auto" w:fill="D9D9D9" w:themeFill="background1" w:themeFillShade="D9"/>
          </w:tcPr>
          <w:p w:rsidR="00A825DF" w:rsidRPr="00B0415E" w:rsidRDefault="00A825DF" w:rsidP="00AE376A">
            <w:pPr>
              <w:rPr>
                <w:rFonts w:cs="Bliss-Regular"/>
                <w:color w:val="000000"/>
              </w:rPr>
            </w:pPr>
            <w:r w:rsidRPr="00B0415E">
              <w:rPr>
                <w:rFonts w:cs="Bliss-Regular"/>
                <w:color w:val="000000"/>
              </w:rPr>
              <w:t>Student Signature</w:t>
            </w:r>
          </w:p>
        </w:tc>
        <w:tc>
          <w:tcPr>
            <w:tcW w:w="4035" w:type="dxa"/>
          </w:tcPr>
          <w:p w:rsidR="00A825DF" w:rsidRPr="00B0415E" w:rsidRDefault="00A825DF" w:rsidP="00AE376A">
            <w:pPr>
              <w:rPr>
                <w:rFonts w:cs="Bliss-Regular"/>
                <w:color w:val="000000"/>
              </w:rPr>
            </w:pPr>
            <w:r>
              <w:rPr>
                <w:rFonts w:cs="Bliss-Regular"/>
                <w:color w:val="000000"/>
              </w:rPr>
              <w:t>Stuart Clark</w:t>
            </w:r>
          </w:p>
        </w:tc>
        <w:tc>
          <w:tcPr>
            <w:tcW w:w="1276" w:type="dxa"/>
            <w:shd w:val="clear" w:color="auto" w:fill="D9D9D9" w:themeFill="background1" w:themeFillShade="D9"/>
          </w:tcPr>
          <w:p w:rsidR="00A825DF" w:rsidRPr="00B0415E" w:rsidRDefault="00A825DF" w:rsidP="00AE376A">
            <w:pPr>
              <w:rPr>
                <w:rFonts w:cs="Bliss-Regular"/>
                <w:color w:val="000000"/>
              </w:rPr>
            </w:pPr>
            <w:r w:rsidRPr="00B0415E">
              <w:rPr>
                <w:rFonts w:cs="Bliss-Regular"/>
                <w:color w:val="000000"/>
              </w:rPr>
              <w:t>Date</w:t>
            </w:r>
          </w:p>
        </w:tc>
        <w:tc>
          <w:tcPr>
            <w:tcW w:w="1621" w:type="dxa"/>
          </w:tcPr>
          <w:p w:rsidR="00A825DF" w:rsidRPr="00B0415E" w:rsidRDefault="00891AEF" w:rsidP="00891AEF">
            <w:pPr>
              <w:rPr>
                <w:rFonts w:cs="Bliss-Regular"/>
                <w:color w:val="000000"/>
              </w:rPr>
            </w:pPr>
            <w:r>
              <w:rPr>
                <w:rFonts w:cs="Bliss-Regular"/>
                <w:color w:val="000000"/>
              </w:rPr>
              <w:t>8</w:t>
            </w:r>
            <w:r w:rsidR="009A6E5E">
              <w:rPr>
                <w:rFonts w:cs="Bliss-Regular"/>
                <w:color w:val="000000"/>
              </w:rPr>
              <w:t>/0</w:t>
            </w:r>
            <w:r>
              <w:rPr>
                <w:rFonts w:cs="Bliss-Regular"/>
                <w:color w:val="000000"/>
              </w:rPr>
              <w:t>2</w:t>
            </w:r>
            <w:r w:rsidR="009A6E5E">
              <w:rPr>
                <w:rFonts w:cs="Bliss-Regular"/>
                <w:color w:val="000000"/>
              </w:rPr>
              <w:t>/19</w:t>
            </w:r>
          </w:p>
        </w:tc>
      </w:tr>
    </w:tbl>
    <w:p w:rsidR="00A825DF" w:rsidRPr="00B0415E" w:rsidRDefault="00A825DF" w:rsidP="00A825DF">
      <w:pPr>
        <w:rPr>
          <w:rFonts w:cs="Bliss-Regular"/>
          <w:color w:val="000000"/>
          <w:lang w:val="en-US"/>
        </w:rPr>
      </w:pPr>
    </w:p>
    <w:p w:rsidR="00A825DF" w:rsidRPr="00B0415E" w:rsidRDefault="00A825DF" w:rsidP="00A825DF">
      <w:pPr>
        <w:rPr>
          <w:rFonts w:cs="Bliss-Regular"/>
          <w:color w:val="000000"/>
          <w:lang w:val="en-US"/>
        </w:rPr>
      </w:pPr>
    </w:p>
    <w:p w:rsidR="00A825DF" w:rsidRPr="00B0415E" w:rsidRDefault="00A825DF" w:rsidP="00A825DF">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A825DF" w:rsidRPr="00B0415E" w:rsidTr="00AE376A">
        <w:trPr>
          <w:trHeight w:val="249"/>
        </w:trPr>
        <w:tc>
          <w:tcPr>
            <w:tcW w:w="4621" w:type="dxa"/>
            <w:shd w:val="clear" w:color="auto" w:fill="D9D9D9" w:themeFill="background1" w:themeFillShade="D9"/>
          </w:tcPr>
          <w:p w:rsidR="00A825DF" w:rsidRPr="00B0415E" w:rsidRDefault="00A825DF" w:rsidP="00AE376A">
            <w:pPr>
              <w:rPr>
                <w:b/>
                <w:color w:val="002060"/>
              </w:rPr>
            </w:pPr>
            <w:r w:rsidRPr="00B0415E">
              <w:rPr>
                <w:b/>
                <w:color w:val="002060"/>
              </w:rPr>
              <w:t>Total Marks</w:t>
            </w:r>
          </w:p>
        </w:tc>
        <w:tc>
          <w:tcPr>
            <w:tcW w:w="4621" w:type="dxa"/>
          </w:tcPr>
          <w:p w:rsidR="00A825DF" w:rsidRPr="00B0415E" w:rsidRDefault="00A825DF" w:rsidP="00AE376A">
            <w:pPr>
              <w:rPr>
                <w:rFonts w:cs="Times New Roman"/>
                <w:szCs w:val="32"/>
              </w:rPr>
            </w:pPr>
          </w:p>
        </w:tc>
      </w:tr>
      <w:tr w:rsidR="00A825DF" w:rsidRPr="00B0415E" w:rsidTr="00AE376A">
        <w:tc>
          <w:tcPr>
            <w:tcW w:w="4621" w:type="dxa"/>
            <w:shd w:val="clear" w:color="auto" w:fill="D9D9D9" w:themeFill="background1" w:themeFillShade="D9"/>
          </w:tcPr>
          <w:p w:rsidR="00A825DF" w:rsidRPr="00B0415E" w:rsidRDefault="00A825DF" w:rsidP="00AE376A">
            <w:pPr>
              <w:rPr>
                <w:b/>
                <w:color w:val="002060"/>
              </w:rPr>
            </w:pPr>
            <w:r w:rsidRPr="00B0415E">
              <w:rPr>
                <w:b/>
                <w:color w:val="002060"/>
              </w:rPr>
              <w:t>Marks Obtained</w:t>
            </w:r>
          </w:p>
        </w:tc>
        <w:tc>
          <w:tcPr>
            <w:tcW w:w="4621" w:type="dxa"/>
          </w:tcPr>
          <w:p w:rsidR="00A825DF" w:rsidRPr="00B0415E" w:rsidRDefault="00A825DF" w:rsidP="00AE376A">
            <w:pPr>
              <w:rPr>
                <w:rFonts w:cs="Times New Roman"/>
                <w:szCs w:val="32"/>
              </w:rPr>
            </w:pPr>
          </w:p>
        </w:tc>
      </w:tr>
      <w:tr w:rsidR="00A825DF" w:rsidRPr="00B0415E" w:rsidTr="00AE376A">
        <w:tc>
          <w:tcPr>
            <w:tcW w:w="4621" w:type="dxa"/>
            <w:shd w:val="clear" w:color="auto" w:fill="D9D9D9" w:themeFill="background1" w:themeFillShade="D9"/>
          </w:tcPr>
          <w:p w:rsidR="00A825DF" w:rsidRPr="00B0415E" w:rsidRDefault="00A825DF" w:rsidP="00AE376A">
            <w:pPr>
              <w:rPr>
                <w:b/>
                <w:color w:val="002060"/>
              </w:rPr>
            </w:pPr>
            <w:r w:rsidRPr="00B0415E">
              <w:rPr>
                <w:b/>
                <w:color w:val="002060"/>
              </w:rPr>
              <w:t>Percentage / Grade</w:t>
            </w:r>
          </w:p>
        </w:tc>
        <w:tc>
          <w:tcPr>
            <w:tcW w:w="4621" w:type="dxa"/>
          </w:tcPr>
          <w:p w:rsidR="00A825DF" w:rsidRPr="00B0415E" w:rsidRDefault="00A825DF" w:rsidP="00AE376A">
            <w:pPr>
              <w:rPr>
                <w:rFonts w:cs="Times New Roman"/>
                <w:szCs w:val="32"/>
              </w:rPr>
            </w:pPr>
          </w:p>
        </w:tc>
      </w:tr>
    </w:tbl>
    <w:p w:rsidR="00A825DF" w:rsidRDefault="00A825DF" w:rsidP="00A825DF">
      <w:pPr>
        <w:rPr>
          <w:rFonts w:cs="Times New Roman"/>
          <w:szCs w:val="32"/>
        </w:rPr>
      </w:pPr>
    </w:p>
    <w:p w:rsidR="00891AEF" w:rsidRPr="00891AEF" w:rsidRDefault="00891AEF" w:rsidP="00891AEF">
      <w:pPr>
        <w:numPr>
          <w:ilvl w:val="0"/>
          <w:numId w:val="4"/>
        </w:numPr>
        <w:contextualSpacing/>
        <w:rPr>
          <w:rFonts w:cs="Arial"/>
        </w:rPr>
      </w:pPr>
      <w:r w:rsidRPr="00891AEF">
        <w:rPr>
          <w:rFonts w:cs="Arial"/>
        </w:rPr>
        <w:lastRenderedPageBreak/>
        <w:t>The International Organisation for Standardisation is an independent organisation that brings together worldwide experts to develop international standards and develop leading specifications for products, services and systems this facilitates quality, safety and efficiency across all industries</w:t>
      </w:r>
      <w:sdt>
        <w:sdtPr>
          <w:rPr>
            <w:rFonts w:cs="Arial"/>
          </w:rPr>
          <w:id w:val="245000792"/>
          <w:citation/>
        </w:sdtPr>
        <w:sdtContent>
          <w:r w:rsidRPr="00891AEF">
            <w:rPr>
              <w:rFonts w:cs="Arial"/>
            </w:rPr>
            <w:fldChar w:fldCharType="begin"/>
          </w:r>
          <w:r w:rsidRPr="00891AEF">
            <w:rPr>
              <w:rFonts w:cs="Arial"/>
            </w:rPr>
            <w:instrText xml:space="preserve"> CITATION Int18 \l 2057 </w:instrText>
          </w:r>
          <w:r w:rsidRPr="00891AEF">
            <w:rPr>
              <w:rFonts w:cs="Arial"/>
            </w:rPr>
            <w:fldChar w:fldCharType="separate"/>
          </w:r>
          <w:r w:rsidRPr="00891AEF">
            <w:rPr>
              <w:rFonts w:cs="Arial"/>
            </w:rPr>
            <w:t xml:space="preserve"> (International Organization for Standardization, 2018)</w:t>
          </w:r>
          <w:r w:rsidRPr="00891AEF">
            <w:rPr>
              <w:rFonts w:cs="Arial"/>
            </w:rPr>
            <w:fldChar w:fldCharType="end"/>
          </w:r>
        </w:sdtContent>
      </w:sdt>
      <w:r w:rsidRPr="00891AEF">
        <w:rPr>
          <w:rFonts w:cs="Arial"/>
        </w:rPr>
        <w:t xml:space="preserve">.  Bansal &amp; Hunt (2003) considered that early adopters of ISO 14001 had one of two distinct contradictory reasons for adopting this standard. These were to strengthen their present policies or to realign their policies, to identify the companies change in strategic position. </w:t>
      </w:r>
    </w:p>
    <w:p w:rsidR="00891AEF" w:rsidRPr="00891AEF" w:rsidRDefault="00891AEF" w:rsidP="00891AEF">
      <w:pPr>
        <w:ind w:left="720"/>
        <w:contextualSpacing/>
        <w:rPr>
          <w:rFonts w:cs="Arial"/>
        </w:rPr>
      </w:pPr>
    </w:p>
    <w:p w:rsidR="00891AEF" w:rsidRPr="00891AEF" w:rsidRDefault="00891AEF" w:rsidP="00891AEF">
      <w:pPr>
        <w:ind w:left="720"/>
        <w:contextualSpacing/>
        <w:rPr>
          <w:rFonts w:cs="Arial"/>
        </w:rPr>
      </w:pPr>
      <w:r w:rsidRPr="00891AEF">
        <w:rPr>
          <w:rFonts w:cs="Arial"/>
        </w:rPr>
        <w:t xml:space="preserve">This view was expanded by </w:t>
      </w:r>
      <w:proofErr w:type="spellStart"/>
      <w:r w:rsidRPr="00891AEF">
        <w:rPr>
          <w:rFonts w:cs="Arial"/>
        </w:rPr>
        <w:t>Ozusaglam</w:t>
      </w:r>
      <w:proofErr w:type="spellEnd"/>
      <w:r w:rsidRPr="00891AEF">
        <w:rPr>
          <w:rFonts w:cs="Arial"/>
        </w:rPr>
        <w:t>, Robin, Wong (2018) who reason that social, ethical and regulatory pressures also act as drivers for ISO 14001 adoption. Literature reveals that the ISO 14001 standard provides 17 requirements to be followed to facilitate certification, these are:</w:t>
      </w:r>
    </w:p>
    <w:p w:rsidR="00891AEF" w:rsidRPr="00891AEF" w:rsidRDefault="00891AEF" w:rsidP="00891AEF">
      <w:pPr>
        <w:ind w:left="720"/>
        <w:contextualSpacing/>
        <w:rPr>
          <w:rFonts w:cs="Arial"/>
        </w:rPr>
      </w:pPr>
    </w:p>
    <w:p w:rsidR="00891AEF" w:rsidRPr="00891AEF" w:rsidRDefault="00891AEF" w:rsidP="00891AEF">
      <w:pPr>
        <w:numPr>
          <w:ilvl w:val="0"/>
          <w:numId w:val="5"/>
        </w:numPr>
        <w:contextualSpacing/>
        <w:rPr>
          <w:rFonts w:cs="Arial"/>
        </w:rPr>
      </w:pPr>
      <w:r w:rsidRPr="00891AEF">
        <w:rPr>
          <w:rFonts w:cs="Arial"/>
        </w:rPr>
        <w:t>Environmental policy: Develop a statement of the organisation’s commitment to the</w:t>
      </w:r>
    </w:p>
    <w:p w:rsidR="00891AEF" w:rsidRPr="00891AEF" w:rsidRDefault="00891AEF" w:rsidP="00891AEF">
      <w:pPr>
        <w:ind w:left="720"/>
        <w:contextualSpacing/>
        <w:rPr>
          <w:rFonts w:cs="Arial"/>
        </w:rPr>
      </w:pPr>
      <w:r w:rsidRPr="00891AEF">
        <w:rPr>
          <w:rFonts w:cs="Arial"/>
        </w:rPr>
        <w:t xml:space="preserve">       Environment</w:t>
      </w:r>
    </w:p>
    <w:p w:rsidR="00891AEF" w:rsidRPr="00891AEF" w:rsidRDefault="00891AEF" w:rsidP="00891AEF">
      <w:pPr>
        <w:numPr>
          <w:ilvl w:val="0"/>
          <w:numId w:val="5"/>
        </w:numPr>
        <w:contextualSpacing/>
        <w:rPr>
          <w:rFonts w:cs="Arial"/>
        </w:rPr>
      </w:pPr>
      <w:r w:rsidRPr="00891AEF">
        <w:rPr>
          <w:rFonts w:cs="Arial"/>
        </w:rPr>
        <w:t>Environmental aspects and impacts: Identify environmental attributes of products, activities and services and their effects on the environment</w:t>
      </w:r>
    </w:p>
    <w:p w:rsidR="00891AEF" w:rsidRPr="00891AEF" w:rsidRDefault="00891AEF" w:rsidP="00891AEF">
      <w:pPr>
        <w:numPr>
          <w:ilvl w:val="0"/>
          <w:numId w:val="5"/>
        </w:numPr>
        <w:contextualSpacing/>
        <w:rPr>
          <w:rFonts w:cs="Arial"/>
        </w:rPr>
      </w:pPr>
      <w:r w:rsidRPr="00891AEF">
        <w:rPr>
          <w:rFonts w:cs="Arial"/>
        </w:rPr>
        <w:t>Legal and other requirements: Identify and ensure access to relevant laws and regulations</w:t>
      </w:r>
    </w:p>
    <w:p w:rsidR="00891AEF" w:rsidRPr="00891AEF" w:rsidRDefault="00891AEF" w:rsidP="00891AEF">
      <w:pPr>
        <w:numPr>
          <w:ilvl w:val="0"/>
          <w:numId w:val="5"/>
        </w:numPr>
        <w:contextualSpacing/>
        <w:rPr>
          <w:rFonts w:cs="Arial"/>
        </w:rPr>
      </w:pPr>
      <w:r w:rsidRPr="00891AEF">
        <w:rPr>
          <w:rFonts w:cs="Arial"/>
        </w:rPr>
        <w:t>Objectives and targets and environmental management programme: Set environmental       goals for the organisation and plan actions to achieve objectives and targets</w:t>
      </w:r>
    </w:p>
    <w:p w:rsidR="00891AEF" w:rsidRPr="00891AEF" w:rsidRDefault="00891AEF" w:rsidP="00891AEF">
      <w:pPr>
        <w:numPr>
          <w:ilvl w:val="0"/>
          <w:numId w:val="5"/>
        </w:numPr>
        <w:contextualSpacing/>
        <w:rPr>
          <w:rFonts w:cs="Arial"/>
        </w:rPr>
      </w:pPr>
      <w:r w:rsidRPr="00891AEF">
        <w:rPr>
          <w:rFonts w:cs="Arial"/>
        </w:rPr>
        <w:t>Structure and responsibility: Establish roles and responsibilities within the organisation</w:t>
      </w:r>
    </w:p>
    <w:p w:rsidR="00891AEF" w:rsidRPr="00891AEF" w:rsidRDefault="00891AEF" w:rsidP="00891AEF">
      <w:pPr>
        <w:numPr>
          <w:ilvl w:val="0"/>
          <w:numId w:val="5"/>
        </w:numPr>
        <w:contextualSpacing/>
        <w:rPr>
          <w:rFonts w:cs="Arial"/>
        </w:rPr>
      </w:pPr>
      <w:r w:rsidRPr="00891AEF">
        <w:rPr>
          <w:rFonts w:cs="Arial"/>
        </w:rPr>
        <w:t>Training, awareness and competence: Ensure that employees are aware and capable of their environmental responsibilities</w:t>
      </w:r>
    </w:p>
    <w:p w:rsidR="00891AEF" w:rsidRPr="00891AEF" w:rsidRDefault="00891AEF" w:rsidP="00891AEF">
      <w:pPr>
        <w:numPr>
          <w:ilvl w:val="0"/>
          <w:numId w:val="5"/>
        </w:numPr>
        <w:contextualSpacing/>
        <w:rPr>
          <w:rFonts w:cs="Arial"/>
        </w:rPr>
      </w:pPr>
      <w:r w:rsidRPr="00891AEF">
        <w:rPr>
          <w:rFonts w:cs="Arial"/>
        </w:rPr>
        <w:t>Communication: Develop processes for internal and external communication on environmental management issues</w:t>
      </w:r>
    </w:p>
    <w:p w:rsidR="00891AEF" w:rsidRPr="00891AEF" w:rsidRDefault="00891AEF" w:rsidP="00891AEF">
      <w:pPr>
        <w:numPr>
          <w:ilvl w:val="0"/>
          <w:numId w:val="5"/>
        </w:numPr>
        <w:contextualSpacing/>
        <w:rPr>
          <w:rFonts w:cs="Arial"/>
        </w:rPr>
      </w:pPr>
      <w:r w:rsidRPr="00891AEF">
        <w:rPr>
          <w:rFonts w:cs="Arial"/>
        </w:rPr>
        <w:t>EMS documentation: Maintain information about the EMS and related documents</w:t>
      </w:r>
    </w:p>
    <w:p w:rsidR="00891AEF" w:rsidRPr="00891AEF" w:rsidRDefault="00891AEF" w:rsidP="00891AEF">
      <w:pPr>
        <w:numPr>
          <w:ilvl w:val="0"/>
          <w:numId w:val="5"/>
        </w:numPr>
        <w:contextualSpacing/>
        <w:rPr>
          <w:rFonts w:cs="Arial"/>
        </w:rPr>
      </w:pPr>
      <w:r w:rsidRPr="00891AEF">
        <w:rPr>
          <w:rFonts w:cs="Arial"/>
        </w:rPr>
        <w:t>Document control: Ensure effective management of procedures and other documents</w:t>
      </w:r>
    </w:p>
    <w:p w:rsidR="00891AEF" w:rsidRPr="00891AEF" w:rsidRDefault="00891AEF" w:rsidP="00891AEF">
      <w:pPr>
        <w:numPr>
          <w:ilvl w:val="0"/>
          <w:numId w:val="5"/>
        </w:numPr>
        <w:contextualSpacing/>
        <w:rPr>
          <w:rFonts w:cs="Arial"/>
        </w:rPr>
      </w:pPr>
      <w:r w:rsidRPr="00891AEF">
        <w:rPr>
          <w:rFonts w:cs="Arial"/>
        </w:rPr>
        <w:t>Operational control: Identify, plan and manage the organisation’s operations and activities in line with the policy, objectives and targets and significant aspects</w:t>
      </w:r>
    </w:p>
    <w:p w:rsidR="00891AEF" w:rsidRPr="00891AEF" w:rsidRDefault="00891AEF" w:rsidP="00891AEF">
      <w:pPr>
        <w:numPr>
          <w:ilvl w:val="0"/>
          <w:numId w:val="5"/>
        </w:numPr>
        <w:contextualSpacing/>
        <w:rPr>
          <w:rFonts w:cs="Arial"/>
        </w:rPr>
      </w:pPr>
      <w:r w:rsidRPr="00891AEF">
        <w:rPr>
          <w:rFonts w:cs="Arial"/>
        </w:rPr>
        <w:t>Emergency preparedness and response: Develop procedures for preventing and responding to potential emergencies</w:t>
      </w:r>
    </w:p>
    <w:p w:rsidR="00891AEF" w:rsidRPr="00891AEF" w:rsidRDefault="00891AEF" w:rsidP="00891AEF">
      <w:pPr>
        <w:numPr>
          <w:ilvl w:val="0"/>
          <w:numId w:val="5"/>
        </w:numPr>
        <w:contextualSpacing/>
        <w:rPr>
          <w:rFonts w:cs="Arial"/>
        </w:rPr>
      </w:pPr>
      <w:r w:rsidRPr="00891AEF">
        <w:rPr>
          <w:rFonts w:cs="Arial"/>
        </w:rPr>
        <w:t>Monitoring and measuring: Monitor key activities and track performance including periodic compliance evaluation</w:t>
      </w:r>
    </w:p>
    <w:p w:rsidR="00891AEF" w:rsidRPr="00891AEF" w:rsidRDefault="00891AEF" w:rsidP="00891AEF">
      <w:pPr>
        <w:numPr>
          <w:ilvl w:val="0"/>
          <w:numId w:val="5"/>
        </w:numPr>
        <w:contextualSpacing/>
        <w:rPr>
          <w:rFonts w:cs="Arial"/>
        </w:rPr>
      </w:pPr>
      <w:r w:rsidRPr="00891AEF">
        <w:rPr>
          <w:rFonts w:cs="Arial"/>
        </w:rPr>
        <w:lastRenderedPageBreak/>
        <w:t>Evaluation of compliance: Develop procedure to periodically evaluate compliance with legal and other requirements</w:t>
      </w:r>
    </w:p>
    <w:p w:rsidR="00891AEF" w:rsidRPr="00891AEF" w:rsidRDefault="00891AEF" w:rsidP="00891AEF">
      <w:pPr>
        <w:numPr>
          <w:ilvl w:val="0"/>
          <w:numId w:val="5"/>
        </w:numPr>
        <w:contextualSpacing/>
        <w:rPr>
          <w:rFonts w:cs="Arial"/>
        </w:rPr>
      </w:pPr>
      <w:proofErr w:type="spellStart"/>
      <w:r w:rsidRPr="00891AEF">
        <w:rPr>
          <w:rFonts w:cs="Arial"/>
        </w:rPr>
        <w:t>Non conformance</w:t>
      </w:r>
      <w:proofErr w:type="spellEnd"/>
      <w:r w:rsidRPr="00891AEF">
        <w:rPr>
          <w:rFonts w:cs="Arial"/>
        </w:rPr>
        <w:t xml:space="preserve"> and corrective and preventive action: Identify and correct problems and prevent recurrences</w:t>
      </w:r>
    </w:p>
    <w:p w:rsidR="00891AEF" w:rsidRPr="00891AEF" w:rsidRDefault="00891AEF" w:rsidP="00891AEF">
      <w:pPr>
        <w:numPr>
          <w:ilvl w:val="0"/>
          <w:numId w:val="5"/>
        </w:numPr>
        <w:contextualSpacing/>
        <w:rPr>
          <w:rFonts w:cs="Arial"/>
        </w:rPr>
      </w:pPr>
      <w:r w:rsidRPr="00891AEF">
        <w:rPr>
          <w:rFonts w:cs="Arial"/>
        </w:rPr>
        <w:t>Records: Keep adequate records of EMS performance</w:t>
      </w:r>
    </w:p>
    <w:p w:rsidR="00891AEF" w:rsidRPr="00891AEF" w:rsidRDefault="00891AEF" w:rsidP="00891AEF">
      <w:pPr>
        <w:numPr>
          <w:ilvl w:val="0"/>
          <w:numId w:val="5"/>
        </w:numPr>
        <w:contextualSpacing/>
        <w:rPr>
          <w:rFonts w:cs="Arial"/>
        </w:rPr>
      </w:pPr>
      <w:r w:rsidRPr="00891AEF">
        <w:rPr>
          <w:rFonts w:cs="Arial"/>
        </w:rPr>
        <w:t>EMS audit: Periodically verify that the EMS is effective and achieving objectives and targets</w:t>
      </w:r>
    </w:p>
    <w:p w:rsidR="00891AEF" w:rsidRPr="00891AEF" w:rsidRDefault="00891AEF" w:rsidP="00891AEF">
      <w:pPr>
        <w:numPr>
          <w:ilvl w:val="0"/>
          <w:numId w:val="5"/>
        </w:numPr>
        <w:contextualSpacing/>
        <w:rPr>
          <w:rFonts w:cs="Arial"/>
        </w:rPr>
      </w:pPr>
      <w:r w:rsidRPr="00891AEF">
        <w:rPr>
          <w:rFonts w:cs="Arial"/>
        </w:rPr>
        <w:t>Management review: Review the EMS</w:t>
      </w:r>
    </w:p>
    <w:p w:rsidR="00891AEF" w:rsidRPr="00891AEF" w:rsidRDefault="00891AEF" w:rsidP="00891AEF">
      <w:pPr>
        <w:rPr>
          <w:rFonts w:asciiTheme="minorHAnsi" w:hAnsiTheme="minorHAnsi"/>
          <w:sz w:val="22"/>
        </w:rPr>
      </w:pPr>
    </w:p>
    <w:p w:rsidR="00891AEF" w:rsidRPr="00891AEF" w:rsidRDefault="00891AEF" w:rsidP="00891AEF">
      <w:pPr>
        <w:numPr>
          <w:ilvl w:val="0"/>
          <w:numId w:val="4"/>
        </w:numPr>
        <w:contextualSpacing/>
        <w:rPr>
          <w:rFonts w:cs="Arial"/>
        </w:rPr>
      </w:pPr>
      <w:r w:rsidRPr="00891AEF">
        <w:rPr>
          <w:rFonts w:cs="Arial"/>
        </w:rPr>
        <w:t>The Plan-Do-Check-Act model, also called PDCA is a process for improvement originally used for modern quality control</w:t>
      </w:r>
      <w:sdt>
        <w:sdtPr>
          <w:rPr>
            <w:rFonts w:cs="Arial"/>
          </w:rPr>
          <w:id w:val="-95403938"/>
          <w:citation/>
        </w:sdtPr>
        <w:sdtContent>
          <w:r w:rsidRPr="00891AEF">
            <w:rPr>
              <w:rFonts w:cs="Arial"/>
            </w:rPr>
            <w:fldChar w:fldCharType="begin"/>
          </w:r>
          <w:r w:rsidRPr="00891AEF">
            <w:rPr>
              <w:rFonts w:cs="Arial"/>
            </w:rPr>
            <w:instrText xml:space="preserve"> CITATION Mar19 \l 2057 </w:instrText>
          </w:r>
          <w:r w:rsidRPr="00891AEF">
            <w:rPr>
              <w:rFonts w:cs="Arial"/>
            </w:rPr>
            <w:fldChar w:fldCharType="separate"/>
          </w:r>
          <w:r w:rsidRPr="00891AEF">
            <w:rPr>
              <w:rFonts w:cs="Arial"/>
            </w:rPr>
            <w:t xml:space="preserve"> (Hammar, 2019)</w:t>
          </w:r>
          <w:r w:rsidRPr="00891AEF">
            <w:rPr>
              <w:rFonts w:cs="Arial"/>
            </w:rPr>
            <w:fldChar w:fldCharType="end"/>
          </w:r>
        </w:sdtContent>
      </w:sdt>
      <w:r w:rsidRPr="00891AEF">
        <w:rPr>
          <w:rFonts w:cs="Arial"/>
        </w:rPr>
        <w:t xml:space="preserve">, also known as the Deming cycle (Moen, Norman, 2006) an example of the cycle is demonstrated below (figure 1). </w:t>
      </w:r>
    </w:p>
    <w:p w:rsidR="00891AEF" w:rsidRPr="00891AEF" w:rsidRDefault="00891AEF" w:rsidP="00891AEF">
      <w:pPr>
        <w:ind w:left="720"/>
        <w:contextualSpacing/>
        <w:rPr>
          <w:rFonts w:cs="Arial"/>
        </w:rPr>
      </w:pPr>
    </w:p>
    <w:p w:rsidR="00891AEF" w:rsidRPr="00891AEF" w:rsidRDefault="00891AEF" w:rsidP="00891AEF">
      <w:pPr>
        <w:ind w:left="720"/>
        <w:contextualSpacing/>
        <w:rPr>
          <w:rFonts w:cs="Arial"/>
        </w:rPr>
      </w:pPr>
      <w:r w:rsidRPr="00891AEF">
        <w:rPr>
          <w:rFonts w:cs="Arial"/>
        </w:rPr>
        <w:t>The principle behind the PDCA cycle is repetition—once a part is confirmed (or improvements found)</w:t>
      </w:r>
      <w:proofErr w:type="gramStart"/>
      <w:r w:rsidRPr="00891AEF">
        <w:rPr>
          <w:rFonts w:cs="Arial"/>
        </w:rPr>
        <w:t>,</w:t>
      </w:r>
      <w:proofErr w:type="gramEnd"/>
      <w:r w:rsidRPr="00891AEF">
        <w:rPr>
          <w:rFonts w:cs="Arial"/>
        </w:rPr>
        <w:t xml:space="preserve"> stepping through the process again will further the understanding and imbed the process further (K.A.Chandrakanth, 2019). Through repetition of the PDCA cycle the goal of imbedding a new process or procedure and be realised sooner (K.A. Chandrakanth, 2019 &amp; Hammar, 2019).</w:t>
      </w:r>
    </w:p>
    <w:p w:rsidR="00891AEF" w:rsidRPr="00891AEF" w:rsidRDefault="00891AEF" w:rsidP="00891AEF">
      <w:pPr>
        <w:ind w:left="720"/>
        <w:contextualSpacing/>
        <w:rPr>
          <w:rFonts w:asciiTheme="minorHAnsi" w:hAnsiTheme="minorHAnsi"/>
          <w:sz w:val="22"/>
        </w:rPr>
      </w:pPr>
    </w:p>
    <w:p w:rsidR="00891AEF" w:rsidRPr="00891AEF" w:rsidRDefault="00891AEF" w:rsidP="00891AEF">
      <w:pPr>
        <w:keepNext/>
        <w:ind w:left="720"/>
        <w:contextualSpacing/>
        <w:jc w:val="center"/>
        <w:rPr>
          <w:rFonts w:asciiTheme="minorHAnsi" w:hAnsiTheme="minorHAnsi"/>
          <w:sz w:val="22"/>
        </w:rPr>
      </w:pPr>
      <w:r w:rsidRPr="00891AEF">
        <w:rPr>
          <w:rFonts w:asciiTheme="minorHAnsi" w:hAnsiTheme="minorHAnsi"/>
          <w:noProof/>
          <w:sz w:val="22"/>
          <w:lang w:eastAsia="en-GB"/>
        </w:rPr>
        <w:drawing>
          <wp:inline distT="0" distB="0" distL="0" distR="0" wp14:anchorId="1A8F8B37" wp14:editId="0FDC84C4">
            <wp:extent cx="3076575" cy="2943225"/>
            <wp:effectExtent l="0" t="0" r="9525"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3076575" cy="2943225"/>
                    </a:xfrm>
                    <a:prstGeom prst="rect">
                      <a:avLst/>
                    </a:prstGeom>
                  </pic:spPr>
                </pic:pic>
              </a:graphicData>
            </a:graphic>
          </wp:inline>
        </w:drawing>
      </w:r>
    </w:p>
    <w:p w:rsidR="00891AEF" w:rsidRPr="00891AEF" w:rsidRDefault="00891AEF" w:rsidP="00891AEF">
      <w:pPr>
        <w:spacing w:line="240" w:lineRule="auto"/>
        <w:jc w:val="center"/>
        <w:rPr>
          <w:rFonts w:asciiTheme="minorHAnsi" w:hAnsiTheme="minorHAnsi"/>
          <w:b/>
          <w:bCs/>
          <w:color w:val="4F81BD" w:themeColor="accent1"/>
          <w:sz w:val="18"/>
          <w:szCs w:val="18"/>
        </w:rPr>
      </w:pPr>
      <w:r w:rsidRPr="00891AEF">
        <w:rPr>
          <w:rFonts w:asciiTheme="minorHAnsi" w:hAnsiTheme="minorHAnsi"/>
          <w:b/>
          <w:bCs/>
          <w:color w:val="4F81BD" w:themeColor="accent1"/>
          <w:sz w:val="18"/>
          <w:szCs w:val="18"/>
        </w:rPr>
        <w:t xml:space="preserve">Figure </w:t>
      </w:r>
      <w:r w:rsidRPr="00891AEF">
        <w:rPr>
          <w:rFonts w:asciiTheme="minorHAnsi" w:hAnsiTheme="minorHAnsi"/>
          <w:b/>
          <w:bCs/>
          <w:color w:val="4F81BD" w:themeColor="accent1"/>
          <w:sz w:val="18"/>
          <w:szCs w:val="18"/>
        </w:rPr>
        <w:fldChar w:fldCharType="begin"/>
      </w:r>
      <w:r w:rsidRPr="00891AEF">
        <w:rPr>
          <w:rFonts w:asciiTheme="minorHAnsi" w:hAnsiTheme="minorHAnsi"/>
          <w:b/>
          <w:bCs/>
          <w:color w:val="4F81BD" w:themeColor="accent1"/>
          <w:sz w:val="18"/>
          <w:szCs w:val="18"/>
        </w:rPr>
        <w:instrText xml:space="preserve"> SEQ Figure \* ARABIC </w:instrText>
      </w:r>
      <w:r w:rsidRPr="00891AEF">
        <w:rPr>
          <w:rFonts w:asciiTheme="minorHAnsi" w:hAnsiTheme="minorHAnsi"/>
          <w:b/>
          <w:bCs/>
          <w:color w:val="4F81BD" w:themeColor="accent1"/>
          <w:sz w:val="18"/>
          <w:szCs w:val="18"/>
        </w:rPr>
        <w:fldChar w:fldCharType="separate"/>
      </w:r>
      <w:r w:rsidR="00950253">
        <w:rPr>
          <w:rFonts w:asciiTheme="minorHAnsi" w:hAnsiTheme="minorHAnsi"/>
          <w:b/>
          <w:bCs/>
          <w:noProof/>
          <w:color w:val="4F81BD" w:themeColor="accent1"/>
          <w:sz w:val="18"/>
          <w:szCs w:val="18"/>
        </w:rPr>
        <w:t>1</w:t>
      </w:r>
      <w:r w:rsidRPr="00891AEF">
        <w:rPr>
          <w:rFonts w:asciiTheme="minorHAnsi" w:hAnsiTheme="minorHAnsi"/>
          <w:b/>
          <w:bCs/>
          <w:noProof/>
          <w:color w:val="4F81BD" w:themeColor="accent1"/>
          <w:sz w:val="18"/>
          <w:szCs w:val="18"/>
        </w:rPr>
        <w:fldChar w:fldCharType="end"/>
      </w:r>
      <w:r w:rsidRPr="00891AEF">
        <w:rPr>
          <w:rFonts w:asciiTheme="minorHAnsi" w:hAnsiTheme="minorHAnsi"/>
          <w:b/>
          <w:bCs/>
          <w:color w:val="4F81BD" w:themeColor="accent1"/>
          <w:sz w:val="18"/>
          <w:szCs w:val="18"/>
        </w:rPr>
        <w:t xml:space="preserve"> PDCA Model (Hammar</w:t>
      </w:r>
      <w:proofErr w:type="gramStart"/>
      <w:r w:rsidRPr="00891AEF">
        <w:rPr>
          <w:rFonts w:asciiTheme="minorHAnsi" w:hAnsiTheme="minorHAnsi"/>
          <w:b/>
          <w:bCs/>
          <w:color w:val="4F81BD" w:themeColor="accent1"/>
          <w:sz w:val="18"/>
          <w:szCs w:val="18"/>
        </w:rPr>
        <w:t>,2019</w:t>
      </w:r>
      <w:proofErr w:type="gramEnd"/>
      <w:r w:rsidRPr="00891AEF">
        <w:rPr>
          <w:rFonts w:asciiTheme="minorHAnsi" w:hAnsiTheme="minorHAnsi"/>
          <w:b/>
          <w:bCs/>
          <w:color w:val="4F81BD" w:themeColor="accent1"/>
          <w:sz w:val="18"/>
          <w:szCs w:val="18"/>
        </w:rPr>
        <w:t>)</w:t>
      </w:r>
    </w:p>
    <w:p w:rsidR="00891AEF" w:rsidRPr="00891AEF" w:rsidRDefault="00891AEF" w:rsidP="00891AEF">
      <w:pPr>
        <w:numPr>
          <w:ilvl w:val="0"/>
          <w:numId w:val="6"/>
        </w:numPr>
        <w:contextualSpacing/>
        <w:rPr>
          <w:rFonts w:asciiTheme="minorHAnsi" w:hAnsiTheme="minorHAnsi"/>
          <w:b/>
        </w:rPr>
      </w:pPr>
      <w:r w:rsidRPr="00891AEF">
        <w:rPr>
          <w:rFonts w:asciiTheme="minorHAnsi" w:hAnsiTheme="minorHAnsi"/>
          <w:b/>
        </w:rPr>
        <w:t>Plan</w:t>
      </w:r>
    </w:p>
    <w:p w:rsidR="00891AEF" w:rsidRDefault="00891AEF" w:rsidP="00891AEF">
      <w:pPr>
        <w:ind w:left="1080"/>
        <w:contextualSpacing/>
        <w:rPr>
          <w:rFonts w:cs="Arial"/>
        </w:rPr>
      </w:pPr>
      <w:r w:rsidRPr="00891AEF">
        <w:rPr>
          <w:rFonts w:cs="Arial"/>
        </w:rPr>
        <w:t xml:space="preserve">Identify the objectives, practices, questions and plan to execute the cycle (who, When, Where, When) </w:t>
      </w:r>
      <w:sdt>
        <w:sdtPr>
          <w:rPr>
            <w:rFonts w:cs="Arial"/>
          </w:rPr>
          <w:id w:val="954296109"/>
          <w:citation/>
        </w:sdtPr>
        <w:sdtContent>
          <w:r w:rsidRPr="00891AEF">
            <w:rPr>
              <w:rFonts w:cs="Arial"/>
            </w:rPr>
            <w:fldChar w:fldCharType="begin"/>
          </w:r>
          <w:r w:rsidRPr="00891AEF">
            <w:rPr>
              <w:rFonts w:cs="Arial"/>
            </w:rPr>
            <w:instrText xml:space="preserve"> CITATION MTa14 \l 2057 </w:instrText>
          </w:r>
          <w:r w:rsidRPr="00891AEF">
            <w:rPr>
              <w:rFonts w:cs="Arial"/>
            </w:rPr>
            <w:fldChar w:fldCharType="separate"/>
          </w:r>
          <w:r w:rsidRPr="00891AEF">
            <w:rPr>
              <w:rFonts w:cs="Arial"/>
            </w:rPr>
            <w:t>(Taylor, et al., 2014)</w:t>
          </w:r>
          <w:r w:rsidRPr="00891AEF">
            <w:rPr>
              <w:rFonts w:cs="Arial"/>
            </w:rPr>
            <w:fldChar w:fldCharType="end"/>
          </w:r>
        </w:sdtContent>
      </w:sdt>
      <w:r w:rsidRPr="00891AEF">
        <w:rPr>
          <w:rFonts w:cs="Arial"/>
        </w:rPr>
        <w:t xml:space="preserve"> to deliver the projected </w:t>
      </w:r>
      <w:r w:rsidRPr="00891AEF">
        <w:rPr>
          <w:rFonts w:cs="Arial"/>
        </w:rPr>
        <w:lastRenderedPageBreak/>
        <w:t>output. Through focussing on the projected output the cycle provides a formation of a theory for improvement (</w:t>
      </w:r>
      <w:proofErr w:type="spellStart"/>
      <w:r w:rsidRPr="00891AEF">
        <w:rPr>
          <w:rFonts w:cs="Arial"/>
        </w:rPr>
        <w:t>Speroff</w:t>
      </w:r>
      <w:proofErr w:type="spellEnd"/>
      <w:r w:rsidRPr="00891AEF">
        <w:rPr>
          <w:rFonts w:cs="Arial"/>
        </w:rPr>
        <w:t xml:space="preserve">, O’Conner, 2004). </w:t>
      </w:r>
    </w:p>
    <w:p w:rsidR="00891AEF" w:rsidRPr="00891AEF" w:rsidRDefault="00891AEF" w:rsidP="00891AEF">
      <w:pPr>
        <w:ind w:left="1080"/>
        <w:contextualSpacing/>
        <w:rPr>
          <w:rFonts w:cs="Arial"/>
        </w:rPr>
      </w:pPr>
    </w:p>
    <w:p w:rsidR="00891AEF" w:rsidRPr="00891AEF" w:rsidRDefault="00891AEF" w:rsidP="00891AEF">
      <w:pPr>
        <w:numPr>
          <w:ilvl w:val="0"/>
          <w:numId w:val="6"/>
        </w:numPr>
        <w:contextualSpacing/>
        <w:rPr>
          <w:rFonts w:asciiTheme="minorHAnsi" w:hAnsiTheme="minorHAnsi"/>
          <w:b/>
        </w:rPr>
      </w:pPr>
      <w:r w:rsidRPr="00891AEF">
        <w:rPr>
          <w:rFonts w:asciiTheme="minorHAnsi" w:hAnsiTheme="minorHAnsi"/>
          <w:b/>
        </w:rPr>
        <w:t>Do</w:t>
      </w:r>
    </w:p>
    <w:p w:rsidR="00891AEF" w:rsidRPr="00891AEF" w:rsidRDefault="00891AEF" w:rsidP="00891AEF">
      <w:pPr>
        <w:ind w:left="1080"/>
        <w:contextualSpacing/>
        <w:rPr>
          <w:rFonts w:cs="Arial"/>
        </w:rPr>
      </w:pPr>
      <w:r w:rsidRPr="00891AEF">
        <w:rPr>
          <w:rFonts w:cs="Arial"/>
        </w:rPr>
        <w:t xml:space="preserve">Consider if the potential exists to begin applying controls on a small scale, if practicable, before a wide scale roll out. </w:t>
      </w:r>
    </w:p>
    <w:p w:rsidR="00891AEF" w:rsidRPr="00891AEF" w:rsidRDefault="00891AEF" w:rsidP="00891AEF">
      <w:pPr>
        <w:ind w:left="1080"/>
        <w:contextualSpacing/>
        <w:rPr>
          <w:rFonts w:cs="Arial"/>
        </w:rPr>
      </w:pPr>
      <w:proofErr w:type="spellStart"/>
      <w:r w:rsidRPr="00891AEF">
        <w:rPr>
          <w:rFonts w:cs="Arial"/>
        </w:rPr>
        <w:t>Hammar</w:t>
      </w:r>
      <w:proofErr w:type="spellEnd"/>
      <w:r w:rsidRPr="00891AEF">
        <w:rPr>
          <w:rFonts w:cs="Arial"/>
        </w:rPr>
        <w:t xml:space="preserve"> (2019) suggests starting by identifying the operational control processes that are important to establish and deliver a resilient and effective EMS. Through identifying and establishing these processes and controls at the beginning, the organisation can function in a manner that limits and controls any negative environmental effects. </w:t>
      </w:r>
    </w:p>
    <w:p w:rsidR="00891AEF" w:rsidRDefault="00891AEF" w:rsidP="00891AEF">
      <w:pPr>
        <w:ind w:left="1080"/>
        <w:contextualSpacing/>
        <w:rPr>
          <w:rFonts w:cs="Arial"/>
        </w:rPr>
      </w:pPr>
      <w:r w:rsidRPr="00891AEF">
        <w:rPr>
          <w:rFonts w:cs="Arial"/>
        </w:rPr>
        <w:t>Have policies in place for emergency response should the need arise.</w:t>
      </w:r>
    </w:p>
    <w:p w:rsidR="00891AEF" w:rsidRPr="00891AEF" w:rsidRDefault="00891AEF" w:rsidP="00891AEF">
      <w:pPr>
        <w:ind w:left="1080"/>
        <w:contextualSpacing/>
        <w:rPr>
          <w:rFonts w:cs="Arial"/>
        </w:rPr>
      </w:pPr>
    </w:p>
    <w:p w:rsidR="00891AEF" w:rsidRPr="00891AEF" w:rsidRDefault="00891AEF" w:rsidP="00891AEF">
      <w:pPr>
        <w:numPr>
          <w:ilvl w:val="0"/>
          <w:numId w:val="6"/>
        </w:numPr>
        <w:contextualSpacing/>
        <w:rPr>
          <w:rFonts w:asciiTheme="minorHAnsi" w:hAnsiTheme="minorHAnsi"/>
          <w:b/>
        </w:rPr>
      </w:pPr>
      <w:r w:rsidRPr="00891AEF">
        <w:rPr>
          <w:rFonts w:asciiTheme="minorHAnsi" w:hAnsiTheme="minorHAnsi"/>
          <w:b/>
        </w:rPr>
        <w:t>Check</w:t>
      </w:r>
    </w:p>
    <w:p w:rsidR="00891AEF" w:rsidRPr="00891AEF" w:rsidRDefault="00891AEF" w:rsidP="00891AEF">
      <w:pPr>
        <w:ind w:left="1080"/>
        <w:contextualSpacing/>
        <w:rPr>
          <w:rFonts w:cs="Arial"/>
        </w:rPr>
      </w:pPr>
      <w:r w:rsidRPr="00891AEF">
        <w:rPr>
          <w:rFonts w:cs="Arial"/>
        </w:rPr>
        <w:t>Measure the new process (or processes) and relate the outcomes to the intended results to identify any variances (K.A.Chandrakanth, 2019). This can be explained as:</w:t>
      </w:r>
    </w:p>
    <w:p w:rsidR="00891AEF" w:rsidRPr="00891AEF" w:rsidRDefault="00891AEF" w:rsidP="00891AEF">
      <w:pPr>
        <w:autoSpaceDE w:val="0"/>
        <w:autoSpaceDN w:val="0"/>
        <w:adjustRightInd w:val="0"/>
        <w:spacing w:after="0" w:line="240" w:lineRule="auto"/>
        <w:ind w:left="1800"/>
        <w:contextualSpacing/>
        <w:rPr>
          <w:rFonts w:ascii="Calibri" w:hAnsi="Calibri" w:cs="Calibri"/>
          <w:szCs w:val="24"/>
        </w:rPr>
      </w:pPr>
    </w:p>
    <w:p w:rsidR="00891AEF" w:rsidRPr="00891AEF" w:rsidRDefault="00891AEF" w:rsidP="00891AEF">
      <w:pPr>
        <w:ind w:left="1080"/>
        <w:contextualSpacing/>
        <w:rPr>
          <w:rFonts w:cs="Arial"/>
        </w:rPr>
      </w:pPr>
      <w:r w:rsidRPr="00891AEF">
        <w:rPr>
          <w:rFonts w:cs="Arial"/>
        </w:rPr>
        <w:t xml:space="preserve">Confirming or refuting the result obtained during the ‘Check’ step against what the ‘Plan’ step’s expected output was and what the actual output of the ‘Do’ step was. </w:t>
      </w:r>
    </w:p>
    <w:p w:rsidR="00891AEF" w:rsidRPr="00891AEF" w:rsidRDefault="00891AEF" w:rsidP="00891AEF">
      <w:pPr>
        <w:autoSpaceDE w:val="0"/>
        <w:autoSpaceDN w:val="0"/>
        <w:adjustRightInd w:val="0"/>
        <w:spacing w:after="0" w:line="240" w:lineRule="auto"/>
        <w:ind w:left="1080"/>
        <w:contextualSpacing/>
        <w:rPr>
          <w:rFonts w:asciiTheme="minorHAnsi" w:hAnsiTheme="minorHAnsi"/>
          <w:b/>
          <w:sz w:val="22"/>
        </w:rPr>
      </w:pPr>
    </w:p>
    <w:p w:rsidR="00891AEF" w:rsidRPr="00891AEF" w:rsidRDefault="00891AEF" w:rsidP="00891AEF">
      <w:pPr>
        <w:numPr>
          <w:ilvl w:val="0"/>
          <w:numId w:val="6"/>
        </w:numPr>
        <w:contextualSpacing/>
        <w:rPr>
          <w:rFonts w:asciiTheme="minorHAnsi" w:hAnsiTheme="minorHAnsi"/>
          <w:b/>
        </w:rPr>
      </w:pPr>
      <w:r w:rsidRPr="00891AEF">
        <w:rPr>
          <w:rFonts w:asciiTheme="minorHAnsi" w:hAnsiTheme="minorHAnsi"/>
          <w:b/>
        </w:rPr>
        <w:t>Act</w:t>
      </w:r>
    </w:p>
    <w:p w:rsidR="00891AEF" w:rsidRDefault="00891AEF" w:rsidP="00891AEF">
      <w:pPr>
        <w:ind w:left="1080"/>
        <w:contextualSpacing/>
        <w:rPr>
          <w:rFonts w:cs="Arial"/>
        </w:rPr>
      </w:pPr>
      <w:proofErr w:type="spellStart"/>
      <w:r w:rsidRPr="00891AEF">
        <w:rPr>
          <w:rFonts w:cs="Arial"/>
        </w:rPr>
        <w:t>Vasovski</w:t>
      </w:r>
      <w:proofErr w:type="spellEnd"/>
      <w:r w:rsidRPr="00891AEF">
        <w:rPr>
          <w:rFonts w:cs="Arial"/>
        </w:rPr>
        <w:t xml:space="preserve"> &amp; Weinstein (2004) suggest that the following steps are conducted as part of the ‘check’ aspect of the PDCA cycle:</w:t>
      </w:r>
    </w:p>
    <w:p w:rsidR="00891AEF" w:rsidRPr="00891AEF" w:rsidRDefault="00891AEF" w:rsidP="00891AEF">
      <w:pPr>
        <w:ind w:left="1080"/>
        <w:contextualSpacing/>
        <w:rPr>
          <w:rFonts w:cs="Arial"/>
        </w:rPr>
      </w:pPr>
    </w:p>
    <w:p w:rsidR="00891AEF" w:rsidRPr="00891AEF" w:rsidRDefault="00891AEF" w:rsidP="00891AEF">
      <w:pPr>
        <w:numPr>
          <w:ilvl w:val="1"/>
          <w:numId w:val="6"/>
        </w:numPr>
        <w:contextualSpacing/>
        <w:rPr>
          <w:rFonts w:cs="Arial"/>
        </w:rPr>
      </w:pPr>
      <w:r w:rsidRPr="00891AEF">
        <w:rPr>
          <w:rFonts w:cs="Arial"/>
        </w:rPr>
        <w:t>Identify systemic changes and training needs</w:t>
      </w:r>
    </w:p>
    <w:p w:rsidR="00891AEF" w:rsidRPr="00891AEF" w:rsidRDefault="00891AEF" w:rsidP="00891AEF">
      <w:pPr>
        <w:numPr>
          <w:ilvl w:val="1"/>
          <w:numId w:val="6"/>
        </w:numPr>
        <w:contextualSpacing/>
        <w:rPr>
          <w:rFonts w:cs="Arial"/>
        </w:rPr>
      </w:pPr>
      <w:r w:rsidRPr="00891AEF">
        <w:rPr>
          <w:rFonts w:cs="Arial"/>
        </w:rPr>
        <w:t>Plan ongoing monitoring</w:t>
      </w:r>
    </w:p>
    <w:p w:rsidR="00891AEF" w:rsidRPr="00891AEF" w:rsidRDefault="00891AEF" w:rsidP="00891AEF">
      <w:pPr>
        <w:numPr>
          <w:ilvl w:val="1"/>
          <w:numId w:val="6"/>
        </w:numPr>
        <w:contextualSpacing/>
        <w:rPr>
          <w:rFonts w:cs="Arial"/>
        </w:rPr>
      </w:pPr>
      <w:r w:rsidRPr="00891AEF">
        <w:rPr>
          <w:rFonts w:cs="Arial"/>
        </w:rPr>
        <w:t>Continuous improvement</w:t>
      </w:r>
    </w:p>
    <w:p w:rsidR="00891AEF" w:rsidRPr="00891AEF" w:rsidRDefault="00891AEF" w:rsidP="00891AEF">
      <w:pPr>
        <w:numPr>
          <w:ilvl w:val="1"/>
          <w:numId w:val="6"/>
        </w:numPr>
        <w:contextualSpacing/>
        <w:rPr>
          <w:rFonts w:cs="Arial"/>
        </w:rPr>
      </w:pPr>
      <w:r w:rsidRPr="00891AEF">
        <w:rPr>
          <w:rFonts w:cs="Arial"/>
        </w:rPr>
        <w:t>Observe other improvement opportunities</w:t>
      </w:r>
    </w:p>
    <w:p w:rsidR="00891AEF" w:rsidRPr="00891AEF" w:rsidRDefault="00891AEF" w:rsidP="00891AEF">
      <w:pPr>
        <w:ind w:left="1800"/>
        <w:contextualSpacing/>
        <w:rPr>
          <w:rFonts w:asciiTheme="minorHAnsi" w:hAnsiTheme="minorHAnsi"/>
          <w:sz w:val="22"/>
        </w:rPr>
      </w:pPr>
    </w:p>
    <w:p w:rsidR="00891AEF" w:rsidRPr="00891AEF" w:rsidRDefault="00891AEF" w:rsidP="00891AEF">
      <w:pPr>
        <w:ind w:left="1080"/>
        <w:contextualSpacing/>
        <w:rPr>
          <w:rFonts w:cs="Arial"/>
        </w:rPr>
      </w:pPr>
      <w:r w:rsidRPr="00891AEF">
        <w:rPr>
          <w:rFonts w:cs="Arial"/>
        </w:rPr>
        <w:t xml:space="preserve">These views are shared by Muttu &amp; Nordin (2016) who go on to suggest standardisation of the improvmnt process as an action at this stage. The author considers that it could be argued that </w:t>
      </w:r>
      <w:proofErr w:type="spellStart"/>
      <w:r w:rsidRPr="00891AEF">
        <w:rPr>
          <w:rFonts w:cs="Arial"/>
        </w:rPr>
        <w:t>Vasovski</w:t>
      </w:r>
      <w:proofErr w:type="spellEnd"/>
      <w:r w:rsidRPr="00891AEF">
        <w:rPr>
          <w:rFonts w:cs="Arial"/>
        </w:rPr>
        <w:t xml:space="preserve"> &amp; Weinstein’s (2004) final two points, which are key concepts of the PDCA cycle, are endemic to every step of the cycle.</w:t>
      </w:r>
    </w:p>
    <w:p w:rsidR="00891AEF" w:rsidRPr="00891AEF" w:rsidRDefault="00891AEF" w:rsidP="00891AEF">
      <w:pPr>
        <w:ind w:left="1080"/>
        <w:rPr>
          <w:rFonts w:asciiTheme="minorHAnsi" w:hAnsiTheme="minorHAnsi"/>
          <w:b/>
          <w:sz w:val="22"/>
        </w:rPr>
      </w:pPr>
    </w:p>
    <w:p w:rsidR="00891AEF" w:rsidRPr="00891AEF" w:rsidRDefault="00891AEF" w:rsidP="00891AEF">
      <w:pPr>
        <w:numPr>
          <w:ilvl w:val="0"/>
          <w:numId w:val="4"/>
        </w:numPr>
        <w:contextualSpacing/>
        <w:rPr>
          <w:rFonts w:cs="Arial"/>
        </w:rPr>
      </w:pPr>
      <w:r w:rsidRPr="00891AEF">
        <w:rPr>
          <w:rFonts w:cs="Arial"/>
        </w:rPr>
        <w:t>The International Organisation of Supreme Audit Institutions working group on Environmental Auditing (INTOSAI WEG) list four types of Environmental Accounts in there 2010 report on Environmental Accounting, these are given as:</w:t>
      </w:r>
    </w:p>
    <w:p w:rsidR="00891AEF" w:rsidRPr="00891AEF" w:rsidRDefault="00891AEF" w:rsidP="00891AEF">
      <w:pPr>
        <w:ind w:left="720"/>
        <w:contextualSpacing/>
        <w:rPr>
          <w:rFonts w:ascii="Calibri" w:hAnsi="Calibri" w:cs="Calibri"/>
          <w:noProof/>
          <w:szCs w:val="24"/>
        </w:rPr>
      </w:pPr>
    </w:p>
    <w:p w:rsidR="00891AEF" w:rsidRPr="00891AEF" w:rsidRDefault="00891AEF" w:rsidP="00891AEF">
      <w:pPr>
        <w:numPr>
          <w:ilvl w:val="0"/>
          <w:numId w:val="6"/>
        </w:numPr>
        <w:contextualSpacing/>
        <w:rPr>
          <w:rFonts w:cs="Arial"/>
        </w:rPr>
      </w:pPr>
      <w:r w:rsidRPr="00891AEF">
        <w:rPr>
          <w:rFonts w:cs="Arial"/>
        </w:rPr>
        <w:t>Natural resource asset accounts</w:t>
      </w:r>
    </w:p>
    <w:p w:rsidR="00891AEF" w:rsidRPr="00891AEF" w:rsidRDefault="00891AEF" w:rsidP="00891AEF">
      <w:pPr>
        <w:numPr>
          <w:ilvl w:val="0"/>
          <w:numId w:val="6"/>
        </w:numPr>
        <w:contextualSpacing/>
        <w:rPr>
          <w:rFonts w:cs="Arial"/>
        </w:rPr>
      </w:pPr>
      <w:r w:rsidRPr="00891AEF">
        <w:rPr>
          <w:rFonts w:cs="Arial"/>
        </w:rPr>
        <w:t>Pollution and material physical flow accounts</w:t>
      </w:r>
    </w:p>
    <w:p w:rsidR="00891AEF" w:rsidRPr="00891AEF" w:rsidRDefault="00891AEF" w:rsidP="00891AEF">
      <w:pPr>
        <w:numPr>
          <w:ilvl w:val="0"/>
          <w:numId w:val="6"/>
        </w:numPr>
        <w:contextualSpacing/>
        <w:rPr>
          <w:rFonts w:cs="Arial"/>
        </w:rPr>
      </w:pPr>
      <w:r w:rsidRPr="00891AEF">
        <w:rPr>
          <w:rFonts w:cs="Arial"/>
        </w:rPr>
        <w:t>Monetary and hybrid accounts</w:t>
      </w:r>
    </w:p>
    <w:p w:rsidR="00891AEF" w:rsidRDefault="00891AEF" w:rsidP="00891AEF">
      <w:pPr>
        <w:numPr>
          <w:ilvl w:val="0"/>
          <w:numId w:val="6"/>
        </w:numPr>
        <w:contextualSpacing/>
        <w:rPr>
          <w:rFonts w:cs="Arial"/>
        </w:rPr>
      </w:pPr>
      <w:r w:rsidRPr="00891AEF">
        <w:rPr>
          <w:rFonts w:cs="Arial"/>
        </w:rPr>
        <w:t>Environmentally-adjusted macroeconomic aggregates</w:t>
      </w:r>
    </w:p>
    <w:p w:rsidR="00950253" w:rsidRPr="00891AEF" w:rsidRDefault="00950253" w:rsidP="00950253">
      <w:pPr>
        <w:ind w:left="1080"/>
        <w:contextualSpacing/>
        <w:rPr>
          <w:rFonts w:cs="Arial"/>
        </w:rPr>
      </w:pPr>
    </w:p>
    <w:p w:rsidR="00891AEF" w:rsidRPr="00891AEF" w:rsidRDefault="00891AEF" w:rsidP="00891AEF">
      <w:pPr>
        <w:ind w:left="720"/>
        <w:rPr>
          <w:rFonts w:cs="Arial"/>
        </w:rPr>
      </w:pPr>
      <w:proofErr w:type="spellStart"/>
      <w:r w:rsidRPr="00891AEF">
        <w:rPr>
          <w:rFonts w:cs="Arial"/>
        </w:rPr>
        <w:t>Rossheim</w:t>
      </w:r>
      <w:proofErr w:type="spellEnd"/>
      <w:r w:rsidRPr="00891AEF">
        <w:rPr>
          <w:rFonts w:cs="Arial"/>
        </w:rPr>
        <w:t xml:space="preserve"> (2019) suggests th</w:t>
      </w:r>
      <w:r w:rsidR="006E3FCA">
        <w:rPr>
          <w:rFonts w:cs="Arial"/>
        </w:rPr>
        <w:t>at there</w:t>
      </w:r>
      <w:r w:rsidRPr="00891AEF">
        <w:rPr>
          <w:rFonts w:cs="Arial"/>
        </w:rPr>
        <w:t xml:space="preserve"> are only three methods of Environmental Accounting (illustrated in figure 2 below), however on investigation these can be considered as reduced</w:t>
      </w:r>
      <w:r w:rsidR="00204A0B">
        <w:rPr>
          <w:rFonts w:cs="Arial"/>
        </w:rPr>
        <w:t xml:space="preserve"> inline</w:t>
      </w:r>
      <w:r w:rsidRPr="00891AEF">
        <w:rPr>
          <w:rFonts w:cs="Arial"/>
        </w:rPr>
        <w:t xml:space="preserve"> versions of INTOSAI WEG’s environmental accounting methods. </w:t>
      </w:r>
    </w:p>
    <w:p w:rsidR="00891AEF" w:rsidRPr="00891AEF" w:rsidRDefault="00950253" w:rsidP="00891AEF">
      <w:pPr>
        <w:ind w:left="720"/>
        <w:rPr>
          <w:rFonts w:asciiTheme="minorHAnsi" w:hAnsiTheme="minorHAnsi"/>
          <w:noProof/>
          <w:sz w:val="22"/>
        </w:rPr>
      </w:pPr>
      <w:r>
        <w:rPr>
          <w:rFonts w:asciiTheme="minorHAnsi" w:hAnsiTheme="minorHAnsi"/>
          <w:noProof/>
          <w:sz w:val="22"/>
          <w:lang w:eastAsia="en-GB"/>
        </w:rPr>
        <mc:AlternateContent>
          <mc:Choice Requires="wpg">
            <w:drawing>
              <wp:anchor distT="0" distB="0" distL="114300" distR="114300" simplePos="0" relativeHeight="251701248" behindDoc="0" locked="0" layoutInCell="1" allowOverlap="1" wp14:anchorId="38AA84A0" wp14:editId="00AEBEFA">
                <wp:simplePos x="0" y="0"/>
                <wp:positionH relativeFrom="column">
                  <wp:posOffset>760021</wp:posOffset>
                </wp:positionH>
                <wp:positionV relativeFrom="paragraph">
                  <wp:posOffset>99241</wp:posOffset>
                </wp:positionV>
                <wp:extent cx="3455191" cy="2231374"/>
                <wp:effectExtent l="0" t="0" r="12065" b="17145"/>
                <wp:wrapNone/>
                <wp:docPr id="34" name="Group 34"/>
                <wp:cNvGraphicFramePr/>
                <a:graphic xmlns:a="http://schemas.openxmlformats.org/drawingml/2006/main">
                  <a:graphicData uri="http://schemas.microsoft.com/office/word/2010/wordprocessingGroup">
                    <wpg:wgp>
                      <wpg:cNvGrpSpPr/>
                      <wpg:grpSpPr>
                        <a:xfrm>
                          <a:off x="0" y="0"/>
                          <a:ext cx="3455191" cy="2231374"/>
                          <a:chOff x="0" y="0"/>
                          <a:chExt cx="3455191" cy="2231374"/>
                        </a:xfrm>
                      </wpg:grpSpPr>
                      <wps:wsp>
                        <wps:cNvPr id="32" name="Flowchart: Process 32"/>
                        <wps:cNvSpPr/>
                        <wps:spPr>
                          <a:xfrm>
                            <a:off x="0" y="807523"/>
                            <a:ext cx="1198880" cy="640080"/>
                          </a:xfrm>
                          <a:prstGeom prst="flowChartProcess">
                            <a:avLst/>
                          </a:prstGeom>
                          <a:solidFill>
                            <a:srgbClr val="4F81BD"/>
                          </a:solidFill>
                          <a:ln w="25400" cap="flat" cmpd="sng" algn="ctr">
                            <a:solidFill>
                              <a:srgbClr val="4F81BD">
                                <a:shade val="50000"/>
                              </a:srgbClr>
                            </a:solidFill>
                            <a:prstDash val="solid"/>
                          </a:ln>
                          <a:effectLst/>
                        </wps:spPr>
                        <wps:txbx>
                          <w:txbxContent>
                            <w:p w:rsidR="00891AEF" w:rsidRPr="00950253" w:rsidRDefault="00891AEF" w:rsidP="00891AEF">
                              <w:pPr>
                                <w:jc w:val="center"/>
                                <w:rPr>
                                  <w:color w:val="FFFFFF" w:themeColor="background1"/>
                                  <w:sz w:val="22"/>
                                </w:rPr>
                              </w:pPr>
                              <w:r w:rsidRPr="00950253">
                                <w:rPr>
                                  <w:rFonts w:ascii="Calibri,Bold" w:hAnsi="Calibri,Bold" w:cs="Calibri,Bold"/>
                                  <w:b/>
                                  <w:bCs/>
                                  <w:color w:val="FFFFFF" w:themeColor="background1"/>
                                  <w:sz w:val="22"/>
                                </w:rPr>
                                <w:t>Forms of Environmental</w:t>
                              </w:r>
                              <w:r w:rsidRPr="00950253">
                                <w:rPr>
                                  <w:color w:val="FFFFFF" w:themeColor="background1"/>
                                  <w:sz w:val="22"/>
                                </w:rPr>
                                <w:t xml:space="preserve"> </w:t>
                              </w:r>
                              <w:r w:rsidRPr="00950253">
                                <w:rPr>
                                  <w:rFonts w:ascii="Calibri,Bold" w:hAnsi="Calibri,Bold" w:cs="Calibri,Bold"/>
                                  <w:b/>
                                  <w:bCs/>
                                  <w:color w:val="FFFFFF" w:themeColor="background1"/>
                                  <w:sz w:val="22"/>
                                </w:rPr>
                                <w:t>Accounting</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 name="Flowchart: Process 9"/>
                        <wps:cNvSpPr/>
                        <wps:spPr>
                          <a:xfrm>
                            <a:off x="2256311" y="0"/>
                            <a:ext cx="1198880" cy="640080"/>
                          </a:xfrm>
                          <a:prstGeom prst="flowChartProcess">
                            <a:avLst/>
                          </a:prstGeom>
                          <a:solidFill>
                            <a:srgbClr val="4F81BD"/>
                          </a:solidFill>
                          <a:ln w="25400" cap="flat" cmpd="sng" algn="ctr">
                            <a:solidFill>
                              <a:srgbClr val="4F81BD">
                                <a:shade val="50000"/>
                              </a:srgbClr>
                            </a:solidFill>
                            <a:prstDash val="solid"/>
                          </a:ln>
                          <a:effectLst/>
                        </wps:spPr>
                        <wps:txbx>
                          <w:txbxContent>
                            <w:p w:rsidR="00891AEF" w:rsidRPr="00BD0B23" w:rsidRDefault="00891AEF" w:rsidP="00891AEF">
                              <w:pPr>
                                <w:jc w:val="center"/>
                                <w:rPr>
                                  <w:sz w:val="22"/>
                                </w:rPr>
                              </w:pPr>
                              <w:r w:rsidRPr="00950253">
                                <w:rPr>
                                  <w:rFonts w:ascii="Calibri,Bold" w:hAnsi="Calibri,Bold" w:cs="Calibri,Bold"/>
                                  <w:bCs/>
                                  <w:color w:val="FFFFFF" w:themeColor="background1"/>
                                  <w:sz w:val="22"/>
                                </w:rPr>
                                <w:t xml:space="preserve">Environmental Management </w:t>
                              </w:r>
                              <w:r w:rsidRPr="00950253">
                                <w:rPr>
                                  <w:rFonts w:ascii="Calibri,Bold" w:hAnsi="Calibri,Bold" w:cs="Calibri,Bold"/>
                                  <w:bCs/>
                                  <w:color w:val="FFFFFF" w:themeColor="background1"/>
                                </w:rPr>
                                <w:t>Accounting</w:t>
                              </w:r>
                              <w:r w:rsidRPr="00950253">
                                <w:rPr>
                                  <w:rFonts w:ascii="Calibri,Bold" w:hAnsi="Calibri,Bold" w:cs="Calibri,Bold"/>
                                  <w:b/>
                                  <w:bCs/>
                                  <w:color w:val="FFFFFF" w:themeColor="background1"/>
                                </w:rPr>
                                <w:t xml:space="preserve"> </w:t>
                              </w:r>
                              <w:r>
                                <w:rPr>
                                  <w:rFonts w:ascii="Calibri,Bold" w:hAnsi="Calibri,Bold" w:cs="Calibri,Bold"/>
                                  <w:b/>
                                  <w:bCs/>
                                  <w:color w:val="FFFFFF"/>
                                </w:rPr>
                                <w:t>(EMA)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1" name="Flowchart: Process 31"/>
                        <wps:cNvSpPr/>
                        <wps:spPr>
                          <a:xfrm>
                            <a:off x="2244436" y="795647"/>
                            <a:ext cx="1198880" cy="640080"/>
                          </a:xfrm>
                          <a:prstGeom prst="flowChartProcess">
                            <a:avLst/>
                          </a:prstGeom>
                          <a:solidFill>
                            <a:srgbClr val="4F81BD"/>
                          </a:solidFill>
                          <a:ln w="25400" cap="flat" cmpd="sng" algn="ctr">
                            <a:solidFill>
                              <a:srgbClr val="4F81BD">
                                <a:shade val="50000"/>
                              </a:srgbClr>
                            </a:solidFill>
                            <a:prstDash val="solid"/>
                          </a:ln>
                          <a:effectLst/>
                        </wps:spPr>
                        <wps:txbx>
                          <w:txbxContent>
                            <w:p w:rsidR="00891AEF" w:rsidRPr="00BD0B23" w:rsidRDefault="00891AEF" w:rsidP="00891AEF">
                              <w:pPr>
                                <w:jc w:val="center"/>
                                <w:rPr>
                                  <w:sz w:val="22"/>
                                </w:rPr>
                              </w:pPr>
                              <w:r w:rsidRPr="00950253">
                                <w:rPr>
                                  <w:rFonts w:ascii="Calibri,Bold" w:hAnsi="Calibri,Bold" w:cs="Calibri,Bold"/>
                                  <w:bCs/>
                                  <w:color w:val="FFFFFF" w:themeColor="background1"/>
                                  <w:sz w:val="22"/>
                                </w:rPr>
                                <w:t>Environmental Financial Accounting</w:t>
                              </w:r>
                              <w:r w:rsidRPr="00950253">
                                <w:rPr>
                                  <w:rFonts w:ascii="Calibri,Bold" w:hAnsi="Calibri,Bold" w:cs="Calibri,Bold"/>
                                  <w:b/>
                                  <w:bCs/>
                                  <w:color w:val="FFFFFF" w:themeColor="background1"/>
                                  <w:sz w:val="22"/>
                                </w:rPr>
                                <w:t xml:space="preserve"> </w:t>
                              </w:r>
                              <w:r w:rsidRPr="00BD0B23">
                                <w:rPr>
                                  <w:rFonts w:ascii="Calibri,Bold" w:hAnsi="Calibri,Bold" w:cs="Calibri,Bold"/>
                                  <w:b/>
                                  <w:bCs/>
                                </w:rPr>
                                <w:t xml:space="preserve">(EFA) </w:t>
                              </w:r>
                              <w:r>
                                <w:rPr>
                                  <w:rFonts w:ascii="Calibri,Bold" w:hAnsi="Calibri,Bold" w:cs="Calibri,Bold"/>
                                  <w:b/>
                                  <w:bCs/>
                                  <w:color w:val="FFFFFF"/>
                                </w:rPr>
                                <w:t>(EMA)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1" name="Flowchart: Process 11"/>
                        <wps:cNvSpPr/>
                        <wps:spPr>
                          <a:xfrm>
                            <a:off x="2244436" y="1591294"/>
                            <a:ext cx="1198880" cy="640080"/>
                          </a:xfrm>
                          <a:prstGeom prst="flowChartProcess">
                            <a:avLst/>
                          </a:prstGeom>
                          <a:solidFill>
                            <a:srgbClr val="4F81BD"/>
                          </a:solidFill>
                          <a:ln w="25400" cap="flat" cmpd="sng" algn="ctr">
                            <a:solidFill>
                              <a:srgbClr val="4F81BD">
                                <a:shade val="50000"/>
                              </a:srgbClr>
                            </a:solidFill>
                            <a:prstDash val="solid"/>
                          </a:ln>
                          <a:effectLst/>
                        </wps:spPr>
                        <wps:txbx>
                          <w:txbxContent>
                            <w:p w:rsidR="00891AEF" w:rsidRPr="00BD0B23" w:rsidRDefault="00891AEF" w:rsidP="00891AEF">
                              <w:pPr>
                                <w:jc w:val="center"/>
                                <w:rPr>
                                  <w:sz w:val="22"/>
                                </w:rPr>
                              </w:pPr>
                              <w:r w:rsidRPr="00950253">
                                <w:rPr>
                                  <w:rFonts w:ascii="Calibri,Bold" w:hAnsi="Calibri,Bold" w:cs="Calibri,Bold"/>
                                  <w:bCs/>
                                  <w:color w:val="FFFFFF" w:themeColor="background1"/>
                                  <w:sz w:val="22"/>
                                </w:rPr>
                                <w:t>Environmental National Accounting</w:t>
                              </w:r>
                              <w:r w:rsidRPr="00950253">
                                <w:rPr>
                                  <w:rFonts w:ascii="Calibri,Bold" w:hAnsi="Calibri,Bold" w:cs="Calibri,Bold"/>
                                  <w:b/>
                                  <w:bCs/>
                                  <w:color w:val="FFFFFF" w:themeColor="background1"/>
                                  <w:sz w:val="22"/>
                                </w:rPr>
                                <w:t xml:space="preserve"> </w:t>
                              </w:r>
                              <w:r w:rsidRPr="00BD0B23">
                                <w:rPr>
                                  <w:rFonts w:ascii="Calibri,Bold" w:hAnsi="Calibri,Bold" w:cs="Calibri,Bold"/>
                                  <w:b/>
                                  <w:bCs/>
                                </w:rPr>
                                <w:t xml:space="preserve">(ENA) </w:t>
                              </w:r>
                              <w:r>
                                <w:rPr>
                                  <w:rFonts w:ascii="Calibri,Bold" w:hAnsi="Calibri,Bold" w:cs="Calibri,Bold"/>
                                  <w:b/>
                                  <w:bCs/>
                                  <w:color w:val="FFFFFF"/>
                                </w:rPr>
                                <w:t>(EMA)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Straight Arrow Connector 30"/>
                        <wps:cNvCnPr/>
                        <wps:spPr>
                          <a:xfrm flipV="1">
                            <a:off x="1199408" y="308759"/>
                            <a:ext cx="1056640" cy="819150"/>
                          </a:xfrm>
                          <a:prstGeom prst="straightConnector1">
                            <a:avLst/>
                          </a:prstGeom>
                          <a:noFill/>
                          <a:ln w="9525" cap="flat" cmpd="sng" algn="ctr">
                            <a:solidFill>
                              <a:srgbClr val="4F81BD">
                                <a:shade val="95000"/>
                                <a:satMod val="105000"/>
                              </a:srgbClr>
                            </a:solidFill>
                            <a:prstDash val="solid"/>
                            <a:tailEnd type="arrow"/>
                          </a:ln>
                          <a:effectLst/>
                        </wps:spPr>
                        <wps:bodyPr/>
                      </wps:wsp>
                      <wps:wsp>
                        <wps:cNvPr id="28" name="Straight Arrow Connector 28"/>
                        <wps:cNvCnPr/>
                        <wps:spPr>
                          <a:xfrm>
                            <a:off x="1199408" y="1140032"/>
                            <a:ext cx="1044575" cy="771525"/>
                          </a:xfrm>
                          <a:prstGeom prst="straightConnector1">
                            <a:avLst/>
                          </a:prstGeom>
                          <a:noFill/>
                          <a:ln w="9525" cap="flat" cmpd="sng" algn="ctr">
                            <a:solidFill>
                              <a:srgbClr val="4F81BD">
                                <a:shade val="95000"/>
                                <a:satMod val="105000"/>
                              </a:srgbClr>
                            </a:solidFill>
                            <a:prstDash val="solid"/>
                            <a:tailEnd type="arrow"/>
                          </a:ln>
                          <a:effectLst/>
                        </wps:spPr>
                        <wps:bodyPr/>
                      </wps:wsp>
                      <wps:wsp>
                        <wps:cNvPr id="29" name="Straight Arrow Connector 29"/>
                        <wps:cNvCnPr/>
                        <wps:spPr>
                          <a:xfrm>
                            <a:off x="1199408" y="1128156"/>
                            <a:ext cx="1044575" cy="0"/>
                          </a:xfrm>
                          <a:prstGeom prst="straightConnector1">
                            <a:avLst/>
                          </a:prstGeom>
                          <a:noFill/>
                          <a:ln w="9525" cap="flat" cmpd="sng" algn="ctr">
                            <a:solidFill>
                              <a:srgbClr val="4F81BD">
                                <a:shade val="95000"/>
                                <a:satMod val="105000"/>
                              </a:srgbClr>
                            </a:solidFill>
                            <a:prstDash val="solid"/>
                            <a:tailEnd type="arrow"/>
                          </a:ln>
                          <a:effectLst/>
                        </wps:spPr>
                        <wps:bodyPr/>
                      </wps:wsp>
                    </wpg:wgp>
                  </a:graphicData>
                </a:graphic>
              </wp:anchor>
            </w:drawing>
          </mc:Choice>
          <mc:Fallback>
            <w:pict>
              <v:group id="Group 34" o:spid="_x0000_s1027" style="position:absolute;left:0;text-align:left;margin-left:59.85pt;margin-top:7.8pt;width:272.05pt;height:175.7pt;z-index:251701248" coordsize="34551,223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">
                <v:shapetype id="_x0000_t109" coordsize="21600,21600" o:spt="109" path="m,l,21600r21600,l21600,xe">
                  <v:stroke joinstyle="miter"/>
                  <v:path gradientshapeok="t" o:connecttype="rect"/>
                </v:shapetype>
                <v:shape id="Flowchart: Process 32" o:spid="_x0000_s1028" type="#_x0000_t109" style="position:absolute;top:8075;width:11988;height:64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pYasIA&#10;AADbAAAADwAAAGRycy9kb3ducmV2LnhtbESPQYvCMBSE7wv+h/AEb2tqhWWpRhHBZS8Kq168PZpn&#10;W21eahLb+u+NIOxxmJlvmPmyN7VoyfnKsoLJOAFBnFtdcaHgeNh8foPwAVljbZkUPMjDcjH4mGOm&#10;bcd/1O5DISKEfYYKyhCaTEqfl2TQj21DHL2zdQZDlK6Q2mEX4aaWaZJ8SYMVx4USG1qXlF/3d6Og&#10;dXm4JWxOqb/sttfDpvu5u0Kp0bBfzUAE6sN/+N3+1QqmKby+xB8gF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ClhqwgAAANsAAAAPAAAAAAAAAAAAAAAAAJgCAABkcnMvZG93&#10;bnJldi54bWxQSwUGAAAAAAQABAD1AAAAhwMAAAAA&#10;" fillcolor="#4f81bd" strokecolor="#385d8a" strokeweight="2pt">
                  <v:textbox>
                    <w:txbxContent>
                      <w:p w:rsidR="00891AEF" w:rsidRPr="00950253" w:rsidRDefault="00891AEF" w:rsidP="00891AEF">
                        <w:pPr>
                          <w:jc w:val="center"/>
                          <w:rPr>
                            <w:color w:val="FFFFFF" w:themeColor="background1"/>
                            <w:sz w:val="22"/>
                          </w:rPr>
                        </w:pPr>
                        <w:r w:rsidRPr="00950253">
                          <w:rPr>
                            <w:rFonts w:ascii="Calibri,Bold" w:hAnsi="Calibri,Bold" w:cs="Calibri,Bold"/>
                            <w:b/>
                            <w:bCs/>
                            <w:color w:val="FFFFFF" w:themeColor="background1"/>
                            <w:sz w:val="22"/>
                          </w:rPr>
                          <w:t>Forms of Environmental</w:t>
                        </w:r>
                        <w:r w:rsidRPr="00950253">
                          <w:rPr>
                            <w:color w:val="FFFFFF" w:themeColor="background1"/>
                            <w:sz w:val="22"/>
                          </w:rPr>
                          <w:t xml:space="preserve"> </w:t>
                        </w:r>
                        <w:r w:rsidRPr="00950253">
                          <w:rPr>
                            <w:rFonts w:ascii="Calibri,Bold" w:hAnsi="Calibri,Bold" w:cs="Calibri,Bold"/>
                            <w:b/>
                            <w:bCs/>
                            <w:color w:val="FFFFFF" w:themeColor="background1"/>
                            <w:sz w:val="22"/>
                          </w:rPr>
                          <w:t>Accounting</w:t>
                        </w:r>
                      </w:p>
                    </w:txbxContent>
                  </v:textbox>
                </v:shape>
                <v:shape id="Flowchart: Process 9" o:spid="_x0000_s1029" type="#_x0000_t109" style="position:absolute;left:22563;width:11988;height:640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0dacEA&#10;AADaAAAADwAAAGRycy9kb3ducmV2LnhtbESPT4vCMBTE74LfITzBm6Z6EK1GWRZc9qLgn4u3R/O2&#10;7dq81CS29dsbQfA4zMxvmNWmM5VoyPnSsoLJOAFBnFldcq7gfNqO5iB8QNZYWSYFD/KwWfd7K0y1&#10;bflAzTHkIkLYp6igCKFOpfRZQQb92NbE0fuzzmCI0uVSO2wj3FRymiQzabDkuFBgTd8FZdfj3Sho&#10;XBZuCZvL1P/vd9fTtv25u1yp4aD7WoII1IVP+N3+1QoW8LoSb4BcP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d9HWnBAAAA2gAAAA8AAAAAAAAAAAAAAAAAmAIAAGRycy9kb3du&#10;cmV2LnhtbFBLBQYAAAAABAAEAPUAAACGAwAAAAA=&#10;" fillcolor="#4f81bd" strokecolor="#385d8a" strokeweight="2pt">
                  <v:textbox>
                    <w:txbxContent>
                      <w:p w:rsidR="00891AEF" w:rsidRPr="00BD0B23" w:rsidRDefault="00891AEF" w:rsidP="00891AEF">
                        <w:pPr>
                          <w:jc w:val="center"/>
                          <w:rPr>
                            <w:sz w:val="22"/>
                          </w:rPr>
                        </w:pPr>
                        <w:r w:rsidRPr="00950253">
                          <w:rPr>
                            <w:rFonts w:ascii="Calibri,Bold" w:hAnsi="Calibri,Bold" w:cs="Calibri,Bold"/>
                            <w:bCs/>
                            <w:color w:val="FFFFFF" w:themeColor="background1"/>
                            <w:sz w:val="22"/>
                          </w:rPr>
                          <w:t xml:space="preserve">Environmental Management </w:t>
                        </w:r>
                        <w:r w:rsidRPr="00950253">
                          <w:rPr>
                            <w:rFonts w:ascii="Calibri,Bold" w:hAnsi="Calibri,Bold" w:cs="Calibri,Bold"/>
                            <w:bCs/>
                            <w:color w:val="FFFFFF" w:themeColor="background1"/>
                          </w:rPr>
                          <w:t>Accounting</w:t>
                        </w:r>
                        <w:r w:rsidRPr="00950253">
                          <w:rPr>
                            <w:rFonts w:ascii="Calibri,Bold" w:hAnsi="Calibri,Bold" w:cs="Calibri,Bold"/>
                            <w:b/>
                            <w:bCs/>
                            <w:color w:val="FFFFFF" w:themeColor="background1"/>
                          </w:rPr>
                          <w:t xml:space="preserve"> </w:t>
                        </w:r>
                        <w:r>
                          <w:rPr>
                            <w:rFonts w:ascii="Calibri,Bold" w:hAnsi="Calibri,Bold" w:cs="Calibri,Bold"/>
                            <w:b/>
                            <w:bCs/>
                            <w:color w:val="FFFFFF"/>
                          </w:rPr>
                          <w:t>(EMA)</w:t>
                        </w:r>
                      </w:p>
                    </w:txbxContent>
                  </v:textbox>
                </v:shape>
                <v:shape id="Flowchart: Process 31" o:spid="_x0000_s1030" type="#_x0000_t109" style="position:absolute;left:22444;top:7956;width:11989;height:64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NjGHcIA&#10;AADbAAAADwAAAGRycy9kb3ducmV2LnhtbESPQYvCMBSE74L/ITzBm01VWJZqFBEULy6sevH2aJ5t&#10;tXmpSWzrv98sLOxxmJlvmOW6N7VoyfnKsoJpkoIgzq2uuFBwOe8mnyB8QNZYWyYFb/KwXg0HS8y0&#10;7fib2lMoRISwz1BBGUKTSenzkgz6xDbE0btZZzBE6QqpHXYRbmo5S9MPabDiuFBiQ9uS8sfpZRS0&#10;Lg/PlM115u9fx8d51+1frlBqPOo3CxCB+vAf/msftIL5FH6/xB8gV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2MYdwgAAANsAAAAPAAAAAAAAAAAAAAAAAJgCAABkcnMvZG93&#10;bnJldi54bWxQSwUGAAAAAAQABAD1AAAAhwMAAAAA&#10;" fillcolor="#4f81bd" strokecolor="#385d8a" strokeweight="2pt">
                  <v:textbox>
                    <w:txbxContent>
                      <w:p w:rsidR="00891AEF" w:rsidRPr="00BD0B23" w:rsidRDefault="00891AEF" w:rsidP="00891AEF">
                        <w:pPr>
                          <w:jc w:val="center"/>
                          <w:rPr>
                            <w:sz w:val="22"/>
                          </w:rPr>
                        </w:pPr>
                        <w:r w:rsidRPr="00950253">
                          <w:rPr>
                            <w:rFonts w:ascii="Calibri,Bold" w:hAnsi="Calibri,Bold" w:cs="Calibri,Bold"/>
                            <w:bCs/>
                            <w:color w:val="FFFFFF" w:themeColor="background1"/>
                            <w:sz w:val="22"/>
                          </w:rPr>
                          <w:t>Environmental Financial Accounting</w:t>
                        </w:r>
                        <w:r w:rsidRPr="00950253">
                          <w:rPr>
                            <w:rFonts w:ascii="Calibri,Bold" w:hAnsi="Calibri,Bold" w:cs="Calibri,Bold"/>
                            <w:b/>
                            <w:bCs/>
                            <w:color w:val="FFFFFF" w:themeColor="background1"/>
                            <w:sz w:val="22"/>
                          </w:rPr>
                          <w:t xml:space="preserve"> </w:t>
                        </w:r>
                        <w:r w:rsidRPr="00BD0B23">
                          <w:rPr>
                            <w:rFonts w:ascii="Calibri,Bold" w:hAnsi="Calibri,Bold" w:cs="Calibri,Bold"/>
                            <w:b/>
                            <w:bCs/>
                          </w:rPr>
                          <w:t xml:space="preserve">(EFA) </w:t>
                        </w:r>
                        <w:r>
                          <w:rPr>
                            <w:rFonts w:ascii="Calibri,Bold" w:hAnsi="Calibri,Bold" w:cs="Calibri,Bold"/>
                            <w:b/>
                            <w:bCs/>
                            <w:color w:val="FFFFFF"/>
                          </w:rPr>
                          <w:t>(EMA)</w:t>
                        </w:r>
                      </w:p>
                    </w:txbxContent>
                  </v:textbox>
                </v:shape>
                <v:shape id="Flowchart: Process 11" o:spid="_x0000_s1031" type="#_x0000_t109" style="position:absolute;left:22444;top:15912;width:11989;height:640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2afcAA&#10;AADbAAAADwAAAGRycy9kb3ducmV2LnhtbERPS2vCQBC+C/0Pywi9mY0eSolZpQiWXlowevE2ZMck&#10;NTub7m4e/ntXKHibj+85+XYyrRjI+caygmWSgiAurW64UnA67hfvIHxA1thaJgU38rDdvMxyzLQd&#10;+UBDESoRQ9hnqKAOocuk9GVNBn1iO+LIXawzGCJ0ldQOxxhuWrlK0zdpsOHYUGNHu5rKa9EbBYMr&#10;w1/K5rzyvz/f1+N+/OxdpdTrfPpYgwg0haf43/2l4/wlPH6JB8jN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F22afcAAAADbAAAADwAAAAAAAAAAAAAAAACYAgAAZHJzL2Rvd25y&#10;ZXYueG1sUEsFBgAAAAAEAAQA9QAAAIUDAAAAAA==&#10;" fillcolor="#4f81bd" strokecolor="#385d8a" strokeweight="2pt">
                  <v:textbox>
                    <w:txbxContent>
                      <w:p w:rsidR="00891AEF" w:rsidRPr="00BD0B23" w:rsidRDefault="00891AEF" w:rsidP="00891AEF">
                        <w:pPr>
                          <w:jc w:val="center"/>
                          <w:rPr>
                            <w:sz w:val="22"/>
                          </w:rPr>
                        </w:pPr>
                        <w:r w:rsidRPr="00950253">
                          <w:rPr>
                            <w:rFonts w:ascii="Calibri,Bold" w:hAnsi="Calibri,Bold" w:cs="Calibri,Bold"/>
                            <w:bCs/>
                            <w:color w:val="FFFFFF" w:themeColor="background1"/>
                            <w:sz w:val="22"/>
                          </w:rPr>
                          <w:t>Environmental National Accounting</w:t>
                        </w:r>
                        <w:r w:rsidRPr="00950253">
                          <w:rPr>
                            <w:rFonts w:ascii="Calibri,Bold" w:hAnsi="Calibri,Bold" w:cs="Calibri,Bold"/>
                            <w:b/>
                            <w:bCs/>
                            <w:color w:val="FFFFFF" w:themeColor="background1"/>
                            <w:sz w:val="22"/>
                          </w:rPr>
                          <w:t xml:space="preserve"> </w:t>
                        </w:r>
                        <w:r w:rsidRPr="00BD0B23">
                          <w:rPr>
                            <w:rFonts w:ascii="Calibri,Bold" w:hAnsi="Calibri,Bold" w:cs="Calibri,Bold"/>
                            <w:b/>
                            <w:bCs/>
                          </w:rPr>
                          <w:t xml:space="preserve">(ENA) </w:t>
                        </w:r>
                        <w:r>
                          <w:rPr>
                            <w:rFonts w:ascii="Calibri,Bold" w:hAnsi="Calibri,Bold" w:cs="Calibri,Bold"/>
                            <w:b/>
                            <w:bCs/>
                            <w:color w:val="FFFFFF"/>
                          </w:rPr>
                          <w:t>(EMA)</w:t>
                        </w:r>
                      </w:p>
                    </w:txbxContent>
                  </v:textbox>
                </v:shape>
                <v:shapetype id="_x0000_t32" coordsize="21600,21600" o:spt="32" o:oned="t" path="m,l21600,21600e" filled="f">
                  <v:path arrowok="t" fillok="f" o:connecttype="none"/>
                  <o:lock v:ext="edit" shapetype="t"/>
                </v:shapetype>
                <v:shape id="Straight Arrow Connector 30" o:spid="_x0000_s1032" type="#_x0000_t32" style="position:absolute;left:11994;top:3087;width:10566;height:8192;flip:y;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szg9k78AAADbAAAADwAAAGRycy9kb3ducmV2LnhtbERPzYrCMBC+C/sOYYS9aVoXRKqxiLCo&#10;oEKrDzA0s23ZZlKSWLtvvzkIHj++/00+mk4M5HxrWUE6T0AQV1a3XCu4375nKxA+IGvsLJOCP/KQ&#10;bz8mG8y0fXJBQxlqEUPYZ6igCaHPpPRVQwb93PbEkfuxzmCI0NVSO3zGcNPJRZIspcGWY0ODPe0b&#10;qn7Lh1FQnf3VXS6H0z4tFsWBb2X3GFqlPqfjbg0i0Bje4pf7qBV8xfXxS/wBcvsP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szg9k78AAADbAAAADwAAAAAAAAAAAAAAAACh&#10;AgAAZHJzL2Rvd25yZXYueG1sUEsFBgAAAAAEAAQA+QAAAI0DAAAAAA==&#10;" strokecolor="#4a7ebb">
                  <v:stroke endarrow="open"/>
                </v:shape>
                <v:shape id="Straight Arrow Connector 28" o:spid="_x0000_s1033" type="#_x0000_t32" style="position:absolute;left:11994;top:11400;width:10445;height:771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StgRsMAAADbAAAADwAAAGRycy9kb3ducmV2LnhtbERPTWvCQBC9F/oflil4000liKSuYqWB&#10;XCqoDfQ4zY5JSHY2za5J2l/fPQg9Pt73ZjeZVgzUu9qygudFBIK4sLrmUsHHJZ2vQTiPrLG1TAp+&#10;yMFu+/iwwUTbkU80nH0pQgi7BBVU3neJlK6oyKBb2I44cFfbG/QB9qXUPY4h3LRyGUUrabDm0FBh&#10;R4eKiuZ8MwoO2XuWvabr5viVfzZv5jf+zk+xUrOnaf8CwtPk/8V3d6YVLMPY8CX8ALn9Aw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0rYEbDAAAA2wAAAA8AAAAAAAAAAAAA&#10;AAAAoQIAAGRycy9kb3ducmV2LnhtbFBLBQYAAAAABAAEAPkAAACRAwAAAAA=&#10;" strokecolor="#4a7ebb">
                  <v:stroke endarrow="open"/>
                </v:shape>
                <v:shape id="Straight Arrow Connector 29" o:spid="_x0000_s1034" type="#_x0000_t32" style="position:absolute;left:11994;top:11281;width:10445;height:0;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mfF3cUAAADbAAAADwAAAGRycy9kb3ducmV2LnhtbESPQWvCQBSE7wX/w/IEb3WjiGjqKioK&#10;uSioFXp8zT6TkOzbmF017a/vCkKPw8x8w8wWranEnRpXWFYw6EcgiFOrC84UfJ627xMQziNrrCyT&#10;gh9ysJh33mYYa/vgA92PPhMBwi5GBbn3dSylS3My6Pq2Jg7exTYGfZBNJnWDjwA3lRxG0VgaLDgs&#10;5FjTOqe0PN6MgnWyS5LVdlLuv89f5cb8jq7nw0ipXrddfoDw1Pr/8KudaAXDKTy/hB8g53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mfF3cUAAADbAAAADwAAAAAAAAAA&#10;AAAAAAChAgAAZHJzL2Rvd25yZXYueG1sUEsFBgAAAAAEAAQA+QAAAJMDAAAAAA==&#10;" strokecolor="#4a7ebb">
                  <v:stroke endarrow="open"/>
                </v:shape>
              </v:group>
            </w:pict>
          </mc:Fallback>
        </mc:AlternateContent>
      </w:r>
    </w:p>
    <w:p w:rsidR="00891AEF" w:rsidRPr="00891AEF" w:rsidRDefault="00891AEF" w:rsidP="00891AEF">
      <w:pPr>
        <w:ind w:left="720"/>
        <w:rPr>
          <w:rFonts w:asciiTheme="minorHAnsi" w:hAnsiTheme="minorHAnsi"/>
          <w:sz w:val="22"/>
        </w:rPr>
      </w:pPr>
    </w:p>
    <w:p w:rsidR="00950253" w:rsidRDefault="00950253" w:rsidP="007113BC"/>
    <w:p w:rsidR="00950253" w:rsidRDefault="00950253" w:rsidP="007113BC"/>
    <w:p w:rsidR="00950253" w:rsidRDefault="00950253" w:rsidP="007113BC"/>
    <w:p w:rsidR="00950253" w:rsidRDefault="00950253" w:rsidP="007113BC"/>
    <w:p w:rsidR="00950253" w:rsidRDefault="00950253" w:rsidP="007113BC"/>
    <w:p w:rsidR="00950253" w:rsidRDefault="00950253" w:rsidP="007113BC">
      <w:r>
        <w:rPr>
          <w:noProof/>
        </w:rPr>
        <mc:AlternateContent>
          <mc:Choice Requires="wps">
            <w:drawing>
              <wp:anchor distT="0" distB="0" distL="114300" distR="114300" simplePos="0" relativeHeight="251703296" behindDoc="0" locked="0" layoutInCell="1" allowOverlap="1" wp14:anchorId="45582C8D" wp14:editId="62B1EBF8">
                <wp:simplePos x="0" y="0"/>
                <wp:positionH relativeFrom="column">
                  <wp:posOffset>758190</wp:posOffset>
                </wp:positionH>
                <wp:positionV relativeFrom="paragraph">
                  <wp:posOffset>191135</wp:posOffset>
                </wp:positionV>
                <wp:extent cx="3953510" cy="635"/>
                <wp:effectExtent l="0" t="0" r="8890" b="8255"/>
                <wp:wrapNone/>
                <wp:docPr id="1" name="Text Box 1"/>
                <wp:cNvGraphicFramePr/>
                <a:graphic xmlns:a="http://schemas.openxmlformats.org/drawingml/2006/main">
                  <a:graphicData uri="http://schemas.microsoft.com/office/word/2010/wordprocessingShape">
                    <wps:wsp>
                      <wps:cNvSpPr txBox="1"/>
                      <wps:spPr>
                        <a:xfrm>
                          <a:off x="0" y="0"/>
                          <a:ext cx="3953510" cy="635"/>
                        </a:xfrm>
                        <a:prstGeom prst="rect">
                          <a:avLst/>
                        </a:prstGeom>
                        <a:solidFill>
                          <a:prstClr val="white"/>
                        </a:solidFill>
                        <a:ln>
                          <a:noFill/>
                        </a:ln>
                        <a:effectLst/>
                      </wps:spPr>
                      <wps:txbx>
                        <w:txbxContent>
                          <w:p w:rsidR="00950253" w:rsidRPr="007E224A" w:rsidRDefault="00950253" w:rsidP="00950253">
                            <w:pPr>
                              <w:pStyle w:val="Caption"/>
                              <w:rPr>
                                <w:noProof/>
                              </w:rPr>
                            </w:pPr>
                            <w:r>
                              <w:t xml:space="preserve">Figure </w:t>
                            </w:r>
                            <w:r>
                              <w:fldChar w:fldCharType="begin"/>
                            </w:r>
                            <w:r>
                              <w:instrText xml:space="preserve"> SEQ Figure \* ARABIC </w:instrText>
                            </w:r>
                            <w:r>
                              <w:fldChar w:fldCharType="separate"/>
                            </w:r>
                            <w:r>
                              <w:rPr>
                                <w:noProof/>
                              </w:rPr>
                              <w:t>2</w:t>
                            </w:r>
                            <w:r>
                              <w:fldChar w:fldCharType="end"/>
                            </w:r>
                            <w:r>
                              <w:t xml:space="preserve"> </w:t>
                            </w:r>
                            <w:proofErr w:type="gramStart"/>
                            <w:r>
                              <w:t>The</w:t>
                            </w:r>
                            <w:proofErr w:type="gramEnd"/>
                            <w:r>
                              <w:t xml:space="preserve"> three forms of Environmental Accounting (</w:t>
                            </w:r>
                            <w:proofErr w:type="spellStart"/>
                            <w:r>
                              <w:t>Rossheim</w:t>
                            </w:r>
                            <w:proofErr w:type="spellEnd"/>
                            <w:r>
                              <w:t xml:space="preserve"> (2019)</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id="Text Box 1" o:spid="_x0000_s1035" type="#_x0000_t202" style="position:absolute;margin-left:59.7pt;margin-top:15.05pt;width:311.3pt;height:.05pt;z-index:2517032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" stroked="f">
                <v:textbox style="mso-fit-shape-to-text:t" inset="0,0,0,0">
                  <w:txbxContent>
                    <w:p w:rsidR="00950253" w:rsidRPr="007E224A" w:rsidRDefault="00950253" w:rsidP="00950253">
                      <w:pPr>
                        <w:pStyle w:val="Caption"/>
                        <w:rPr>
                          <w:noProof/>
                        </w:rPr>
                      </w:pPr>
                      <w:r>
                        <w:t xml:space="preserve">Figure </w:t>
                      </w:r>
                      <w:r>
                        <w:fldChar w:fldCharType="begin"/>
                      </w:r>
                      <w:r>
                        <w:instrText xml:space="preserve"> SEQ Figure \* ARABIC </w:instrText>
                      </w:r>
                      <w:r>
                        <w:fldChar w:fldCharType="separate"/>
                      </w:r>
                      <w:r>
                        <w:rPr>
                          <w:noProof/>
                        </w:rPr>
                        <w:t>2</w:t>
                      </w:r>
                      <w:r>
                        <w:fldChar w:fldCharType="end"/>
                      </w:r>
                      <w:r>
                        <w:t xml:space="preserve"> </w:t>
                      </w:r>
                      <w:proofErr w:type="gramStart"/>
                      <w:r>
                        <w:t>The</w:t>
                      </w:r>
                      <w:proofErr w:type="gramEnd"/>
                      <w:r>
                        <w:t xml:space="preserve"> three forms of Environmental Accounting (</w:t>
                      </w:r>
                      <w:proofErr w:type="spellStart"/>
                      <w:r>
                        <w:t>Rossheim</w:t>
                      </w:r>
                      <w:proofErr w:type="spellEnd"/>
                      <w:r>
                        <w:t xml:space="preserve"> (2019)</w:t>
                      </w:r>
                    </w:p>
                  </w:txbxContent>
                </v:textbox>
              </v:shape>
            </w:pict>
          </mc:Fallback>
        </mc:AlternateContent>
      </w:r>
    </w:p>
    <w:p w:rsidR="00950253" w:rsidRDefault="00950253" w:rsidP="007113BC"/>
    <w:p w:rsidR="00CC6D74" w:rsidRDefault="0027261B" w:rsidP="007113BC">
      <w:r>
        <w:t xml:space="preserve">The </w:t>
      </w:r>
      <w:r w:rsidR="00204A0B">
        <w:t>explanations of the above methods are</w:t>
      </w:r>
      <w:r>
        <w:t xml:space="preserve"> stated as;</w:t>
      </w:r>
    </w:p>
    <w:p w:rsidR="0027261B" w:rsidRDefault="0027261B" w:rsidP="0027261B">
      <w:pPr>
        <w:pStyle w:val="ListParagraph"/>
        <w:numPr>
          <w:ilvl w:val="0"/>
          <w:numId w:val="7"/>
        </w:numPr>
      </w:pPr>
      <w:r w:rsidRPr="0027261B">
        <w:t>Environmental management account</w:t>
      </w:r>
      <w:r>
        <w:t xml:space="preserve">ing collects </w:t>
      </w:r>
      <w:r w:rsidRPr="0027261B">
        <w:t>and analyse</w:t>
      </w:r>
      <w:r>
        <w:t>s</w:t>
      </w:r>
      <w:r w:rsidRPr="0027261B">
        <w:t xml:space="preserve"> </w:t>
      </w:r>
      <w:r>
        <w:t>data</w:t>
      </w:r>
      <w:r w:rsidRPr="0027261B">
        <w:t xml:space="preserve"> on </w:t>
      </w:r>
      <w:r>
        <w:t>resource</w:t>
      </w:r>
      <w:r w:rsidRPr="0027261B">
        <w:t xml:space="preserve"> flows and pollution controls for internal </w:t>
      </w:r>
      <w:r>
        <w:t>stakeholders</w:t>
      </w:r>
      <w:r w:rsidR="006E3FCA">
        <w:t xml:space="preserve"> and can be expanded to the following subsystems:</w:t>
      </w:r>
    </w:p>
    <w:p w:rsidR="008178A6" w:rsidRDefault="008178A6" w:rsidP="008178A6">
      <w:pPr>
        <w:pStyle w:val="ListParagraph"/>
      </w:pPr>
    </w:p>
    <w:p w:rsidR="006E3FCA" w:rsidRDefault="006E3FCA" w:rsidP="006E3FCA">
      <w:pPr>
        <w:pStyle w:val="ListParagraph"/>
        <w:numPr>
          <w:ilvl w:val="1"/>
          <w:numId w:val="7"/>
        </w:numPr>
      </w:pPr>
      <w:r w:rsidRPr="006E3FCA">
        <w:t>S</w:t>
      </w:r>
      <w:r>
        <w:t>egment Environmental Accounting</w:t>
      </w:r>
      <w:r w:rsidR="008178A6">
        <w:t xml:space="preserve"> </w:t>
      </w:r>
      <w:r>
        <w:t>– an internal tool to aid decision making in relation to</w:t>
      </w:r>
      <w:r w:rsidRPr="006E3FCA">
        <w:t xml:space="preserve"> </w:t>
      </w:r>
      <w:r>
        <w:t xml:space="preserve">the </w:t>
      </w:r>
      <w:r w:rsidRPr="006E3FCA">
        <w:t>evaluat</w:t>
      </w:r>
      <w:r>
        <w:t>ion of</w:t>
      </w:r>
      <w:r w:rsidRPr="006E3FCA">
        <w:t xml:space="preserve"> environmental effects</w:t>
      </w:r>
    </w:p>
    <w:p w:rsidR="008178A6" w:rsidRDefault="008178A6" w:rsidP="008178A6">
      <w:pPr>
        <w:pStyle w:val="ListParagraph"/>
        <w:ind w:left="1440"/>
      </w:pPr>
    </w:p>
    <w:p w:rsidR="008178A6" w:rsidRDefault="006E3FCA" w:rsidP="008178A6">
      <w:pPr>
        <w:pStyle w:val="ListParagraph"/>
        <w:numPr>
          <w:ilvl w:val="1"/>
          <w:numId w:val="7"/>
        </w:numPr>
      </w:pPr>
      <w:r w:rsidRPr="006E3FCA">
        <w:t>Eco B</w:t>
      </w:r>
      <w:r>
        <w:t>alance Environmental Accounting</w:t>
      </w:r>
      <w:r w:rsidR="008178A6">
        <w:t xml:space="preserve"> </w:t>
      </w:r>
      <w:r w:rsidR="008178A6" w:rsidRPr="008178A6">
        <w:t>– an internal tool to aid</w:t>
      </w:r>
      <w:r w:rsidR="008178A6">
        <w:t xml:space="preserve"> the </w:t>
      </w:r>
      <w:r w:rsidR="008178A6" w:rsidRPr="008178A6">
        <w:t xml:space="preserve">PDCA </w:t>
      </w:r>
      <w:r w:rsidR="008178A6">
        <w:t>on</w:t>
      </w:r>
      <w:r w:rsidR="008178A6" w:rsidRPr="008178A6">
        <w:t xml:space="preserve"> environmental management activities.</w:t>
      </w:r>
    </w:p>
    <w:p w:rsidR="008178A6" w:rsidRDefault="008178A6" w:rsidP="008178A6">
      <w:pPr>
        <w:pStyle w:val="ListParagraph"/>
      </w:pPr>
    </w:p>
    <w:p w:rsidR="006E3FCA" w:rsidRDefault="006E3FCA" w:rsidP="006E3FCA">
      <w:pPr>
        <w:pStyle w:val="ListParagraph"/>
        <w:numPr>
          <w:ilvl w:val="1"/>
          <w:numId w:val="7"/>
        </w:numPr>
      </w:pPr>
      <w:r w:rsidRPr="006E3FCA">
        <w:t>Cor</w:t>
      </w:r>
      <w:r>
        <w:t>porate Environmental Accounting</w:t>
      </w:r>
      <w:r w:rsidR="008178A6" w:rsidRPr="008178A6">
        <w:t xml:space="preserve"> </w:t>
      </w:r>
      <w:r w:rsidR="008178A6">
        <w:t>– This is</w:t>
      </w:r>
      <w:r w:rsidR="008178A6" w:rsidRPr="008178A6">
        <w:t xml:space="preserve"> tool</w:t>
      </w:r>
      <w:r w:rsidR="008178A6">
        <w:t xml:space="preserve"> utilised to inform external audiences regarding information gathered during Environmental Accounting (quantity and financial)</w:t>
      </w:r>
    </w:p>
    <w:p w:rsidR="00204A0B" w:rsidRDefault="00204A0B" w:rsidP="00204A0B">
      <w:pPr>
        <w:pStyle w:val="ListParagraph"/>
      </w:pPr>
    </w:p>
    <w:p w:rsidR="00204A0B" w:rsidRDefault="0027261B" w:rsidP="00204A0B">
      <w:pPr>
        <w:pStyle w:val="ListParagraph"/>
        <w:numPr>
          <w:ilvl w:val="0"/>
          <w:numId w:val="7"/>
        </w:numPr>
      </w:pPr>
      <w:r w:rsidRPr="0027261B">
        <w:lastRenderedPageBreak/>
        <w:t>E</w:t>
      </w:r>
      <w:r>
        <w:t>nvironmental financial accoun</w:t>
      </w:r>
      <w:r w:rsidRPr="0027261B">
        <w:t>t</w:t>
      </w:r>
      <w:r>
        <w:t>ing</w:t>
      </w:r>
      <w:r w:rsidRPr="0027261B">
        <w:t xml:space="preserve"> make analogous accounts to external </w:t>
      </w:r>
      <w:r w:rsidR="00204A0B">
        <w:t>stakeholders</w:t>
      </w:r>
      <w:r w:rsidRPr="0027261B">
        <w:t>, including regulator</w:t>
      </w:r>
      <w:r w:rsidR="00204A0B">
        <w:t>y bodies</w:t>
      </w:r>
    </w:p>
    <w:p w:rsidR="00204A0B" w:rsidRDefault="00204A0B" w:rsidP="00204A0B">
      <w:pPr>
        <w:pStyle w:val="ListParagraph"/>
      </w:pPr>
    </w:p>
    <w:p w:rsidR="00204A0B" w:rsidRDefault="00204A0B" w:rsidP="00204A0B">
      <w:pPr>
        <w:pStyle w:val="ListParagraph"/>
        <w:numPr>
          <w:ilvl w:val="0"/>
          <w:numId w:val="7"/>
        </w:numPr>
      </w:pPr>
      <w:r w:rsidRPr="00204A0B">
        <w:t>Environmental national account</w:t>
      </w:r>
      <w:r>
        <w:t>ing</w:t>
      </w:r>
      <w:r w:rsidRPr="00204A0B">
        <w:t xml:space="preserve"> </w:t>
      </w:r>
      <w:r>
        <w:t>considers a</w:t>
      </w:r>
      <w:r w:rsidRPr="00204A0B">
        <w:t xml:space="preserve"> much bigger picture</w:t>
      </w:r>
      <w:r>
        <w:t>.</w:t>
      </w:r>
      <w:r w:rsidRPr="00204A0B">
        <w:t xml:space="preserve"> </w:t>
      </w:r>
      <w:r>
        <w:t>Investigating</w:t>
      </w:r>
      <w:r w:rsidRPr="00204A0B">
        <w:t xml:space="preserve"> how natural resources are </w:t>
      </w:r>
      <w:r>
        <w:t>consumed</w:t>
      </w:r>
      <w:r w:rsidRPr="00204A0B">
        <w:t xml:space="preserve"> and </w:t>
      </w:r>
      <w:r>
        <w:t>the management of the</w:t>
      </w:r>
      <w:r w:rsidRPr="00204A0B">
        <w:t xml:space="preserve"> environmental impacts nation</w:t>
      </w:r>
      <w:r>
        <w:t>wide.</w:t>
      </w:r>
    </w:p>
    <w:p w:rsidR="0027261B" w:rsidRDefault="0027261B" w:rsidP="0027261B"/>
    <w:p w:rsidR="007A7FCF" w:rsidRDefault="007A7FCF">
      <w:pPr>
        <w:rPr>
          <w:rFonts w:asciiTheme="majorHAnsi" w:eastAsiaTheme="majorEastAsia" w:hAnsiTheme="majorHAnsi" w:cstheme="majorBidi"/>
          <w:b/>
          <w:bCs/>
          <w:color w:val="4F81BD" w:themeColor="accent1"/>
          <w:sz w:val="26"/>
          <w:szCs w:val="26"/>
        </w:rPr>
      </w:pPr>
      <w:r>
        <w:br w:type="page"/>
      </w:r>
    </w:p>
    <w:p w:rsidR="008178A6" w:rsidRDefault="007A7FCF" w:rsidP="007A7FCF">
      <w:pPr>
        <w:pStyle w:val="Heading2"/>
      </w:pPr>
      <w:r>
        <w:lastRenderedPageBreak/>
        <w:t>Bibliography</w:t>
      </w:r>
    </w:p>
    <w:p w:rsidR="008178A6" w:rsidRDefault="008178A6" w:rsidP="0027261B"/>
    <w:p w:rsidR="007A7FCF" w:rsidRDefault="007A7FCF" w:rsidP="007A7FCF">
      <w:pPr>
        <w:pStyle w:val="Bibliography"/>
        <w:rPr>
          <w:noProof/>
        </w:rPr>
      </w:pPr>
      <w:r>
        <w:fldChar w:fldCharType="begin"/>
      </w:r>
      <w:r>
        <w:instrText xml:space="preserve"> BIBLIOGRAPHY  \l 2057 </w:instrText>
      </w:r>
      <w:r>
        <w:fldChar w:fldCharType="separate"/>
      </w:r>
      <w:r>
        <w:rPr>
          <w:noProof/>
        </w:rPr>
        <w:t xml:space="preserve">Das, P. K., 2016. An Introduction to the Concept of Environmental Management: Indian Context. </w:t>
      </w:r>
      <w:r>
        <w:rPr>
          <w:i/>
          <w:iCs/>
          <w:noProof/>
        </w:rPr>
        <w:t xml:space="preserve">International Journal of Innovation and Economic Development, </w:t>
      </w:r>
      <w:r>
        <w:rPr>
          <w:noProof/>
        </w:rPr>
        <w:t>2(4), pp. 25-34.</w:t>
      </w:r>
    </w:p>
    <w:p w:rsidR="007A7FCF" w:rsidRDefault="007A7FCF" w:rsidP="007A7FCF">
      <w:pPr>
        <w:pStyle w:val="Bibliography"/>
        <w:rPr>
          <w:noProof/>
        </w:rPr>
      </w:pPr>
      <w:r>
        <w:rPr>
          <w:noProof/>
        </w:rPr>
        <w:t xml:space="preserve">Dionis, A. et al., 2016. Implementation and Benefits of Environmental Management System. </w:t>
      </w:r>
      <w:r>
        <w:rPr>
          <w:i/>
          <w:iCs/>
          <w:noProof/>
        </w:rPr>
        <w:t xml:space="preserve">Journal of Maritime Research, </w:t>
      </w:r>
      <w:r>
        <w:rPr>
          <w:noProof/>
        </w:rPr>
        <w:t>Volume 13, pp. 77-81.</w:t>
      </w:r>
    </w:p>
    <w:p w:rsidR="007A7FCF" w:rsidRDefault="007A7FCF" w:rsidP="007A7FCF">
      <w:pPr>
        <w:pStyle w:val="Bibliography"/>
        <w:rPr>
          <w:noProof/>
        </w:rPr>
      </w:pPr>
      <w:r>
        <w:rPr>
          <w:noProof/>
        </w:rPr>
        <w:t xml:space="preserve">Epstein, M. J., 2016. </w:t>
      </w:r>
      <w:r>
        <w:rPr>
          <w:i/>
          <w:iCs/>
          <w:noProof/>
        </w:rPr>
        <w:t xml:space="preserve">Making Sustainability Work: Best Practices in Managing and Measuring Corporate Social, Environmental, and Economic Impacts. </w:t>
      </w:r>
      <w:r>
        <w:rPr>
          <w:noProof/>
        </w:rPr>
        <w:t>s.l.: Berrett-Koehler.</w:t>
      </w:r>
    </w:p>
    <w:p w:rsidR="007A7FCF" w:rsidRDefault="007A7FCF" w:rsidP="007A7FCF">
      <w:pPr>
        <w:pStyle w:val="Bibliography"/>
        <w:rPr>
          <w:noProof/>
        </w:rPr>
      </w:pPr>
      <w:r>
        <w:rPr>
          <w:noProof/>
        </w:rPr>
        <w:t xml:space="preserve">Hammar, M., 2019. </w:t>
      </w:r>
      <w:r>
        <w:rPr>
          <w:i/>
          <w:iCs/>
          <w:noProof/>
        </w:rPr>
        <w:t xml:space="preserve">Plan-Do-Check-Act in the ISO 14001 standard, </w:t>
      </w:r>
      <w:r>
        <w:rPr>
          <w:noProof/>
        </w:rPr>
        <w:t>s.l.: 14001 Academy .</w:t>
      </w:r>
    </w:p>
    <w:p w:rsidR="007A7FCF" w:rsidRDefault="007A7FCF" w:rsidP="007A7FCF">
      <w:pPr>
        <w:pStyle w:val="Bibliography"/>
        <w:rPr>
          <w:noProof/>
        </w:rPr>
      </w:pPr>
      <w:r>
        <w:rPr>
          <w:noProof/>
        </w:rPr>
        <w:t xml:space="preserve">International Organization for Standardization, 2018. </w:t>
      </w:r>
      <w:r>
        <w:rPr>
          <w:i/>
          <w:iCs/>
          <w:noProof/>
        </w:rPr>
        <w:t xml:space="preserve">International Organization for Standardization. </w:t>
      </w:r>
      <w:r>
        <w:rPr>
          <w:noProof/>
        </w:rPr>
        <w:t xml:space="preserve">[Online] </w:t>
      </w:r>
      <w:r>
        <w:rPr>
          <w:noProof/>
        </w:rPr>
        <w:br/>
        <w:t xml:space="preserve">Available at: </w:t>
      </w:r>
      <w:r>
        <w:rPr>
          <w:noProof/>
          <w:u w:val="single"/>
        </w:rPr>
        <w:t>https://www.iso.org/about-us.html</w:t>
      </w:r>
      <w:r>
        <w:rPr>
          <w:noProof/>
        </w:rPr>
        <w:br/>
        <w:t>[Accessed 23 January 2019].</w:t>
      </w:r>
    </w:p>
    <w:p w:rsidR="007A7FCF" w:rsidRDefault="007A7FCF" w:rsidP="007A7FCF">
      <w:pPr>
        <w:pStyle w:val="Bibliography"/>
        <w:rPr>
          <w:noProof/>
        </w:rPr>
      </w:pPr>
      <w:r>
        <w:rPr>
          <w:noProof/>
        </w:rPr>
        <w:t xml:space="preserve">K.A.CHANDRAKANTH, 2019. </w:t>
      </w:r>
      <w:r>
        <w:rPr>
          <w:i/>
          <w:iCs/>
          <w:noProof/>
        </w:rPr>
        <w:t xml:space="preserve">Agile Alliance. </w:t>
      </w:r>
      <w:r>
        <w:rPr>
          <w:noProof/>
        </w:rPr>
        <w:t xml:space="preserve">[Online] </w:t>
      </w:r>
      <w:r>
        <w:rPr>
          <w:noProof/>
        </w:rPr>
        <w:br/>
        <w:t xml:space="preserve">Available at: </w:t>
      </w:r>
      <w:r>
        <w:rPr>
          <w:noProof/>
          <w:u w:val="single"/>
        </w:rPr>
        <w:t>https://www.agilealliance.org/wp-content/uploads/2016/01/PDCA.pdf</w:t>
      </w:r>
      <w:r>
        <w:rPr>
          <w:noProof/>
        </w:rPr>
        <w:br/>
        <w:t>[Accessed Friday February 2019].</w:t>
      </w:r>
    </w:p>
    <w:p w:rsidR="007A7FCF" w:rsidRDefault="007A7FCF" w:rsidP="007A7FCF">
      <w:pPr>
        <w:pStyle w:val="Bibliography"/>
        <w:rPr>
          <w:noProof/>
        </w:rPr>
      </w:pPr>
      <w:r>
        <w:rPr>
          <w:noProof/>
        </w:rPr>
        <w:t xml:space="preserve">Kotze, L. &amp; JG, N., 2009. </w:t>
      </w:r>
      <w:r>
        <w:rPr>
          <w:i/>
          <w:iCs/>
          <w:noProof/>
        </w:rPr>
        <w:t xml:space="preserve">Environmental management in South Africa. </w:t>
      </w:r>
      <w:r>
        <w:rPr>
          <w:noProof/>
        </w:rPr>
        <w:t>2nd Edition ed. s.l.:s.n.</w:t>
      </w:r>
    </w:p>
    <w:p w:rsidR="007A7FCF" w:rsidRDefault="007A7FCF" w:rsidP="007A7FCF">
      <w:pPr>
        <w:pStyle w:val="Bibliography"/>
        <w:rPr>
          <w:noProof/>
        </w:rPr>
      </w:pPr>
      <w:r>
        <w:rPr>
          <w:noProof/>
        </w:rPr>
        <w:t xml:space="preserve">Lochner, P., 2005. </w:t>
      </w:r>
      <w:r>
        <w:rPr>
          <w:i/>
          <w:iCs/>
          <w:noProof/>
        </w:rPr>
        <w:t xml:space="preserve">Guideline for Environmental Management Plans. CSIR Report No ENV-S-C. </w:t>
      </w:r>
      <w:r>
        <w:rPr>
          <w:noProof/>
        </w:rPr>
        <w:t>Cape Town: Department of Environmental Affairs &amp; Development Planning.</w:t>
      </w:r>
    </w:p>
    <w:p w:rsidR="007A7FCF" w:rsidRDefault="007A7FCF" w:rsidP="007A7FCF">
      <w:pPr>
        <w:pStyle w:val="Bibliography"/>
        <w:rPr>
          <w:noProof/>
        </w:rPr>
      </w:pPr>
      <w:r>
        <w:rPr>
          <w:noProof/>
        </w:rPr>
        <w:t xml:space="preserve">Moen, R. &amp; Norman, C., 2006. </w:t>
      </w:r>
      <w:r>
        <w:rPr>
          <w:i/>
          <w:iCs/>
          <w:noProof/>
        </w:rPr>
        <w:t xml:space="preserve">Evolution of the PDC, </w:t>
      </w:r>
      <w:r>
        <w:rPr>
          <w:noProof/>
        </w:rPr>
        <w:t>s.l.: s.n.</w:t>
      </w:r>
    </w:p>
    <w:p w:rsidR="007A7FCF" w:rsidRDefault="007A7FCF" w:rsidP="007A7FCF">
      <w:pPr>
        <w:pStyle w:val="Bibliography"/>
        <w:rPr>
          <w:noProof/>
        </w:rPr>
      </w:pPr>
      <w:r>
        <w:rPr>
          <w:noProof/>
        </w:rPr>
        <w:t xml:space="preserve">Muttu, S. &amp; Nordin, N., 2016. PDCA CYCLE. </w:t>
      </w:r>
      <w:r>
        <w:rPr>
          <w:i/>
          <w:iCs/>
          <w:noProof/>
        </w:rPr>
        <w:t xml:space="preserve">SSRG International Journal of Mechanical Engineering (SSRG-IJME) , </w:t>
      </w:r>
      <w:r>
        <w:rPr>
          <w:noProof/>
        </w:rPr>
        <w:t>3(5).</w:t>
      </w:r>
    </w:p>
    <w:p w:rsidR="007A7FCF" w:rsidRDefault="007A7FCF" w:rsidP="007A7FCF">
      <w:pPr>
        <w:pStyle w:val="Bibliography"/>
        <w:rPr>
          <w:noProof/>
        </w:rPr>
      </w:pPr>
      <w:r>
        <w:rPr>
          <w:noProof/>
        </w:rPr>
        <w:t xml:space="preserve">Rossheim, J., 2019. </w:t>
      </w:r>
      <w:r>
        <w:rPr>
          <w:i/>
          <w:iCs/>
          <w:noProof/>
        </w:rPr>
        <w:t xml:space="preserve">Environmental Accountants Do It for the Green, </w:t>
      </w:r>
      <w:r>
        <w:rPr>
          <w:noProof/>
        </w:rPr>
        <w:t>s.l.: Monster.</w:t>
      </w:r>
    </w:p>
    <w:p w:rsidR="007A7FCF" w:rsidRDefault="007A7FCF" w:rsidP="007A7FCF">
      <w:pPr>
        <w:pStyle w:val="Bibliography"/>
        <w:rPr>
          <w:noProof/>
        </w:rPr>
      </w:pPr>
      <w:r>
        <w:rPr>
          <w:noProof/>
        </w:rPr>
        <w:t xml:space="preserve">Speroff, T. &amp; O'Conner, G., 2004. Study designs for PDSA quality improvement research. </w:t>
      </w:r>
      <w:r>
        <w:rPr>
          <w:i/>
          <w:iCs/>
          <w:noProof/>
        </w:rPr>
        <w:t xml:space="preserve">Quality Management Health care, </w:t>
      </w:r>
      <w:r>
        <w:rPr>
          <w:noProof/>
        </w:rPr>
        <w:t>Volume 13, pp. 17-32.</w:t>
      </w:r>
    </w:p>
    <w:p w:rsidR="007A7FCF" w:rsidRDefault="007A7FCF" w:rsidP="007A7FCF">
      <w:pPr>
        <w:pStyle w:val="Bibliography"/>
        <w:rPr>
          <w:noProof/>
        </w:rPr>
      </w:pPr>
      <w:r>
        <w:rPr>
          <w:noProof/>
        </w:rPr>
        <w:t xml:space="preserve">Taylor, M. et al., 2014. Systematic Review of the application of the plan-do-study-act method to improve quality in healthcare. </w:t>
      </w:r>
      <w:r>
        <w:rPr>
          <w:i/>
          <w:iCs/>
          <w:noProof/>
        </w:rPr>
        <w:t xml:space="preserve">BMJ Qual Saf, </w:t>
      </w:r>
      <w:r>
        <w:rPr>
          <w:noProof/>
        </w:rPr>
        <w:t>Volume 23, pp. 290-298.</w:t>
      </w:r>
    </w:p>
    <w:p w:rsidR="008178A6" w:rsidRPr="000731DA" w:rsidRDefault="007A7FCF" w:rsidP="007A7FCF">
      <w:pPr>
        <w:pStyle w:val="Bibliography"/>
      </w:pPr>
      <w:r>
        <w:rPr>
          <w:noProof/>
        </w:rPr>
        <w:t xml:space="preserve">Vasovsk, S. &amp; Weinste, J., 2004. </w:t>
      </w:r>
      <w:r>
        <w:rPr>
          <w:i/>
          <w:iCs/>
          <w:noProof/>
        </w:rPr>
        <w:t xml:space="preserve">The PDCA Continuous Improvement Cycle. </w:t>
      </w:r>
      <w:r>
        <w:rPr>
          <w:noProof/>
        </w:rPr>
        <w:t>s.l.:s.n.</w:t>
      </w:r>
      <w:r>
        <w:fldChar w:fldCharType="end"/>
      </w:r>
      <w:bookmarkStart w:id="0" w:name="_GoBack"/>
      <w:bookmarkEnd w:id="0"/>
    </w:p>
    <w:sectPr w:rsidR="008178A6" w:rsidRPr="000731DA" w:rsidSect="00CC6D74">
      <w:headerReference w:type="even" r:id="rId11"/>
      <w:headerReference w:type="default" r:id="rId12"/>
      <w:footerReference w:type="even" r:id="rId13"/>
      <w:footerReference w:type="default" r:id="rId14"/>
      <w:headerReference w:type="first" r:id="rId15"/>
      <w:footerReference w:type="first" r:id="rId16"/>
      <w:pgSz w:w="11906" w:h="16838"/>
      <w:pgMar w:top="253" w:right="1440" w:bottom="1440" w:left="1440" w:header="284" w:footer="708" w:gutter="0"/>
      <w:pgNumType w:start="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21F22" w:rsidRDefault="00B21F22" w:rsidP="00E438BF">
      <w:pPr>
        <w:spacing w:after="0" w:line="240" w:lineRule="auto"/>
      </w:pPr>
      <w:r>
        <w:separator/>
      </w:r>
    </w:p>
  </w:endnote>
  <w:endnote w:type="continuationSeparator" w:id="0">
    <w:p w:rsidR="00B21F22" w:rsidRDefault="00B21F22" w:rsidP="00E438B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D74" w:rsidRDefault="00CC6D74">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D74" w:rsidRDefault="00CC6D74">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D74" w:rsidRDefault="00CC6D7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21F22" w:rsidRDefault="00B21F22" w:rsidP="00E438BF">
      <w:pPr>
        <w:spacing w:after="0" w:line="240" w:lineRule="auto"/>
      </w:pPr>
      <w:r>
        <w:separator/>
      </w:r>
    </w:p>
  </w:footnote>
  <w:footnote w:type="continuationSeparator" w:id="0">
    <w:p w:rsidR="00B21F22" w:rsidRDefault="00B21F22" w:rsidP="00E438B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D74" w:rsidRDefault="00CC6D7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224124"/>
      <w:docPartObj>
        <w:docPartGallery w:val="Page Numbers (Top of Page)"/>
        <w:docPartUnique/>
      </w:docPartObj>
    </w:sdtPr>
    <w:sdtEndPr/>
    <w:sdtContent>
      <w:p w:rsidR="00610285" w:rsidRPr="00610285" w:rsidRDefault="00610285">
        <w:pPr>
          <w:pStyle w:val="Header"/>
          <w:jc w:val="right"/>
          <w:rPr>
            <w:rFonts w:cs="Arial"/>
            <w:szCs w:val="24"/>
          </w:rPr>
        </w:pPr>
        <w:r w:rsidRPr="00610285">
          <w:rPr>
            <w:rFonts w:cs="Arial"/>
            <w:szCs w:val="24"/>
          </w:rPr>
          <w:t>Mr Stuart Clark</w:t>
        </w:r>
      </w:p>
      <w:p w:rsidR="00610285" w:rsidRPr="00610285" w:rsidRDefault="00610285">
        <w:pPr>
          <w:pStyle w:val="Header"/>
          <w:jc w:val="right"/>
          <w:rPr>
            <w:rFonts w:cs="Arial"/>
            <w:szCs w:val="24"/>
            <w:shd w:val="clear" w:color="auto" w:fill="FFFFFF"/>
          </w:rPr>
        </w:pPr>
        <w:r w:rsidRPr="00610285">
          <w:rPr>
            <w:rFonts w:cs="Arial"/>
            <w:szCs w:val="24"/>
            <w:shd w:val="clear" w:color="auto" w:fill="FFFFFF"/>
          </w:rPr>
          <w:t>28519</w:t>
        </w:r>
      </w:p>
      <w:p w:rsidR="00610285" w:rsidRPr="00610285" w:rsidRDefault="00610285">
        <w:pPr>
          <w:pStyle w:val="Header"/>
          <w:jc w:val="right"/>
          <w:rPr>
            <w:rFonts w:cs="Arial"/>
            <w:szCs w:val="24"/>
            <w:shd w:val="clear" w:color="auto" w:fill="FFFFFF"/>
          </w:rPr>
        </w:pPr>
        <w:r w:rsidRPr="00610285">
          <w:rPr>
            <w:rFonts w:cs="Arial"/>
            <w:szCs w:val="24"/>
            <w:shd w:val="clear" w:color="auto" w:fill="FFFFFF"/>
          </w:rPr>
          <w:t>Assignment 1</w:t>
        </w:r>
      </w:p>
      <w:p w:rsidR="00610285" w:rsidRPr="00610285" w:rsidRDefault="00610285">
        <w:pPr>
          <w:pStyle w:val="Header"/>
          <w:jc w:val="right"/>
          <w:rPr>
            <w:rFonts w:cs="Arial"/>
            <w:szCs w:val="24"/>
          </w:rPr>
        </w:pPr>
      </w:p>
      <w:p w:rsidR="00610285" w:rsidRDefault="00610285">
        <w:pPr>
          <w:pStyle w:val="Header"/>
          <w:jc w:val="right"/>
        </w:pPr>
        <w:r>
          <w:t xml:space="preserve">Page </w:t>
        </w:r>
        <w:r>
          <w:rPr>
            <w:b/>
            <w:bCs/>
            <w:szCs w:val="24"/>
          </w:rPr>
          <w:fldChar w:fldCharType="begin"/>
        </w:r>
        <w:r>
          <w:rPr>
            <w:b/>
            <w:bCs/>
          </w:rPr>
          <w:instrText xml:space="preserve"> PAGE </w:instrText>
        </w:r>
        <w:r>
          <w:rPr>
            <w:b/>
            <w:bCs/>
            <w:szCs w:val="24"/>
          </w:rPr>
          <w:fldChar w:fldCharType="separate"/>
        </w:r>
        <w:r w:rsidR="007A7FCF">
          <w:rPr>
            <w:b/>
            <w:bCs/>
            <w:noProof/>
          </w:rPr>
          <w:t>1</w:t>
        </w:r>
        <w:r>
          <w:rPr>
            <w:b/>
            <w:bCs/>
            <w:szCs w:val="24"/>
          </w:rPr>
          <w:fldChar w:fldCharType="end"/>
        </w:r>
        <w:r>
          <w:t xml:space="preserve"> of </w:t>
        </w:r>
        <w:r>
          <w:rPr>
            <w:b/>
            <w:bCs/>
            <w:szCs w:val="24"/>
          </w:rPr>
          <w:fldChar w:fldCharType="begin"/>
        </w:r>
        <w:r>
          <w:rPr>
            <w:b/>
            <w:bCs/>
          </w:rPr>
          <w:instrText xml:space="preserve"> NUMPAGES  </w:instrText>
        </w:r>
        <w:r>
          <w:rPr>
            <w:b/>
            <w:bCs/>
            <w:szCs w:val="24"/>
          </w:rPr>
          <w:fldChar w:fldCharType="separate"/>
        </w:r>
        <w:r w:rsidR="007A7FCF">
          <w:rPr>
            <w:b/>
            <w:bCs/>
            <w:noProof/>
          </w:rPr>
          <w:t>7</w:t>
        </w:r>
        <w:r>
          <w:rPr>
            <w:b/>
            <w:bCs/>
            <w:szCs w:val="24"/>
          </w:rPr>
          <w:fldChar w:fldCharType="end"/>
        </w:r>
      </w:p>
    </w:sdtContent>
  </w:sdt>
  <w:p w:rsidR="00E438BF" w:rsidRPr="00E438BF" w:rsidRDefault="00E438BF" w:rsidP="00E438BF">
    <w:pPr>
      <w:pStyle w:val="Header"/>
      <w:jc w:val="right"/>
      <w:rPr>
        <w:rFonts w:cs="Arial"/>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6D74" w:rsidRDefault="00CC6D7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40300"/>
    <w:multiLevelType w:val="hybridMultilevel"/>
    <w:tmpl w:val="24203F5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3FF02953"/>
    <w:multiLevelType w:val="hybridMultilevel"/>
    <w:tmpl w:val="3A9A987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446771AC"/>
    <w:multiLevelType w:val="hybridMultilevel"/>
    <w:tmpl w:val="F0D6C0FC"/>
    <w:lvl w:ilvl="0" w:tplc="991C688A">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nsid w:val="51915F64"/>
    <w:multiLevelType w:val="hybridMultilevel"/>
    <w:tmpl w:val="9FAC27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nsid w:val="55B71158"/>
    <w:multiLevelType w:val="hybridMultilevel"/>
    <w:tmpl w:val="002AABA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B877A07"/>
    <w:multiLevelType w:val="hybridMultilevel"/>
    <w:tmpl w:val="4CD057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7A2E14E0"/>
    <w:multiLevelType w:val="hybridMultilevel"/>
    <w:tmpl w:val="8756997A"/>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abstractNumId w:val="3"/>
  </w:num>
  <w:num w:numId="2">
    <w:abstractNumId w:val="4"/>
  </w:num>
  <w:num w:numId="3">
    <w:abstractNumId w:val="5"/>
  </w:num>
  <w:num w:numId="4">
    <w:abstractNumId w:val="0"/>
  </w:num>
  <w:num w:numId="5">
    <w:abstractNumId w:val="2"/>
  </w:num>
  <w:num w:numId="6">
    <w:abstractNumId w:val="6"/>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38BF"/>
    <w:rsid w:val="0003069C"/>
    <w:rsid w:val="000731DA"/>
    <w:rsid w:val="000A6147"/>
    <w:rsid w:val="00114A46"/>
    <w:rsid w:val="00130904"/>
    <w:rsid w:val="001926C6"/>
    <w:rsid w:val="00201D2E"/>
    <w:rsid w:val="00204A0B"/>
    <w:rsid w:val="00255B56"/>
    <w:rsid w:val="00256F6F"/>
    <w:rsid w:val="0027261B"/>
    <w:rsid w:val="0029243A"/>
    <w:rsid w:val="002D0BD5"/>
    <w:rsid w:val="002F7BE6"/>
    <w:rsid w:val="003023B6"/>
    <w:rsid w:val="00356387"/>
    <w:rsid w:val="003B3092"/>
    <w:rsid w:val="003E2B80"/>
    <w:rsid w:val="004360ED"/>
    <w:rsid w:val="005508F1"/>
    <w:rsid w:val="005F4BFC"/>
    <w:rsid w:val="00610285"/>
    <w:rsid w:val="006E3FCA"/>
    <w:rsid w:val="007113BC"/>
    <w:rsid w:val="007A7FCF"/>
    <w:rsid w:val="00804720"/>
    <w:rsid w:val="008178A6"/>
    <w:rsid w:val="008814CF"/>
    <w:rsid w:val="00891AEF"/>
    <w:rsid w:val="009405F3"/>
    <w:rsid w:val="00950253"/>
    <w:rsid w:val="00956BD7"/>
    <w:rsid w:val="0097190F"/>
    <w:rsid w:val="00994C72"/>
    <w:rsid w:val="009A6E5E"/>
    <w:rsid w:val="00A825DF"/>
    <w:rsid w:val="00AD1D08"/>
    <w:rsid w:val="00B21F22"/>
    <w:rsid w:val="00B421BE"/>
    <w:rsid w:val="00B633FA"/>
    <w:rsid w:val="00BA1A98"/>
    <w:rsid w:val="00C0185D"/>
    <w:rsid w:val="00C62C53"/>
    <w:rsid w:val="00C95A76"/>
    <w:rsid w:val="00CC6D74"/>
    <w:rsid w:val="00D31012"/>
    <w:rsid w:val="00D823AB"/>
    <w:rsid w:val="00E330B6"/>
    <w:rsid w:val="00E438BF"/>
    <w:rsid w:val="00E96266"/>
    <w:rsid w:val="00EC3D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4CF"/>
    <w:rPr>
      <w:rFonts w:ascii="Arial" w:hAnsi="Arial"/>
      <w:sz w:val="24"/>
    </w:rPr>
  </w:style>
  <w:style w:type="paragraph" w:styleId="Heading2">
    <w:name w:val="heading 2"/>
    <w:basedOn w:val="Normal"/>
    <w:next w:val="Normal"/>
    <w:link w:val="Heading2Char"/>
    <w:uiPriority w:val="9"/>
    <w:unhideWhenUsed/>
    <w:qFormat/>
    <w:rsid w:val="007A7FC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8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38BF"/>
  </w:style>
  <w:style w:type="paragraph" w:styleId="Footer">
    <w:name w:val="footer"/>
    <w:basedOn w:val="Normal"/>
    <w:link w:val="FooterChar"/>
    <w:uiPriority w:val="99"/>
    <w:unhideWhenUsed/>
    <w:rsid w:val="00E438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38BF"/>
  </w:style>
  <w:style w:type="paragraph" w:styleId="BalloonText">
    <w:name w:val="Balloon Text"/>
    <w:basedOn w:val="Normal"/>
    <w:link w:val="BalloonTextChar"/>
    <w:uiPriority w:val="99"/>
    <w:semiHidden/>
    <w:unhideWhenUsed/>
    <w:rsid w:val="002F7B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7BE6"/>
    <w:rPr>
      <w:rFonts w:ascii="Tahoma" w:hAnsi="Tahoma" w:cs="Tahoma"/>
      <w:sz w:val="16"/>
      <w:szCs w:val="16"/>
    </w:rPr>
  </w:style>
  <w:style w:type="paragraph" w:styleId="ListParagraph">
    <w:name w:val="List Paragraph"/>
    <w:basedOn w:val="Normal"/>
    <w:uiPriority w:val="34"/>
    <w:qFormat/>
    <w:rsid w:val="0029243A"/>
    <w:pPr>
      <w:ind w:left="720"/>
      <w:contextualSpacing/>
    </w:pPr>
  </w:style>
  <w:style w:type="paragraph" w:styleId="Caption">
    <w:name w:val="caption"/>
    <w:basedOn w:val="Normal"/>
    <w:next w:val="Normal"/>
    <w:uiPriority w:val="35"/>
    <w:unhideWhenUsed/>
    <w:qFormat/>
    <w:rsid w:val="000731DA"/>
    <w:pPr>
      <w:spacing w:line="240" w:lineRule="auto"/>
    </w:pPr>
    <w:rPr>
      <w:b/>
      <w:bCs/>
      <w:color w:val="4F81BD" w:themeColor="accent1"/>
      <w:sz w:val="18"/>
      <w:szCs w:val="18"/>
    </w:rPr>
  </w:style>
  <w:style w:type="paragraph" w:styleId="NoSpacing">
    <w:name w:val="No Spacing"/>
    <w:link w:val="NoSpacingChar"/>
    <w:uiPriority w:val="1"/>
    <w:qFormat/>
    <w:rsid w:val="00A825DF"/>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A825DF"/>
    <w:rPr>
      <w:rFonts w:eastAsiaTheme="minorEastAsia"/>
      <w:lang w:val="en-US" w:eastAsia="ja-JP"/>
    </w:rPr>
  </w:style>
  <w:style w:type="paragraph" w:customStyle="1" w:styleId="Default">
    <w:name w:val="Default"/>
    <w:rsid w:val="00A825D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25D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8178A6"/>
  </w:style>
  <w:style w:type="character" w:customStyle="1" w:styleId="Heading2Char">
    <w:name w:val="Heading 2 Char"/>
    <w:basedOn w:val="DefaultParagraphFont"/>
    <w:link w:val="Heading2"/>
    <w:uiPriority w:val="9"/>
    <w:rsid w:val="007A7FCF"/>
    <w:rPr>
      <w:rFonts w:asciiTheme="majorHAnsi" w:eastAsiaTheme="majorEastAsia" w:hAnsiTheme="majorHAnsi" w:cstheme="majorBidi"/>
      <w:b/>
      <w:bCs/>
      <w:color w:val="4F81BD" w:themeColor="accent1"/>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14CF"/>
    <w:rPr>
      <w:rFonts w:ascii="Arial" w:hAnsi="Arial"/>
      <w:sz w:val="24"/>
    </w:rPr>
  </w:style>
  <w:style w:type="paragraph" w:styleId="Heading2">
    <w:name w:val="heading 2"/>
    <w:basedOn w:val="Normal"/>
    <w:next w:val="Normal"/>
    <w:link w:val="Heading2Char"/>
    <w:uiPriority w:val="9"/>
    <w:unhideWhenUsed/>
    <w:qFormat/>
    <w:rsid w:val="007A7FCF"/>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438BF"/>
    <w:pPr>
      <w:tabs>
        <w:tab w:val="center" w:pos="4513"/>
        <w:tab w:val="right" w:pos="9026"/>
      </w:tabs>
      <w:spacing w:after="0" w:line="240" w:lineRule="auto"/>
    </w:pPr>
  </w:style>
  <w:style w:type="character" w:customStyle="1" w:styleId="HeaderChar">
    <w:name w:val="Header Char"/>
    <w:basedOn w:val="DefaultParagraphFont"/>
    <w:link w:val="Header"/>
    <w:uiPriority w:val="99"/>
    <w:rsid w:val="00E438BF"/>
  </w:style>
  <w:style w:type="paragraph" w:styleId="Footer">
    <w:name w:val="footer"/>
    <w:basedOn w:val="Normal"/>
    <w:link w:val="FooterChar"/>
    <w:uiPriority w:val="99"/>
    <w:unhideWhenUsed/>
    <w:rsid w:val="00E438BF"/>
    <w:pPr>
      <w:tabs>
        <w:tab w:val="center" w:pos="4513"/>
        <w:tab w:val="right" w:pos="9026"/>
      </w:tabs>
      <w:spacing w:after="0" w:line="240" w:lineRule="auto"/>
    </w:pPr>
  </w:style>
  <w:style w:type="character" w:customStyle="1" w:styleId="FooterChar">
    <w:name w:val="Footer Char"/>
    <w:basedOn w:val="DefaultParagraphFont"/>
    <w:link w:val="Footer"/>
    <w:uiPriority w:val="99"/>
    <w:rsid w:val="00E438BF"/>
  </w:style>
  <w:style w:type="paragraph" w:styleId="BalloonText">
    <w:name w:val="Balloon Text"/>
    <w:basedOn w:val="Normal"/>
    <w:link w:val="BalloonTextChar"/>
    <w:uiPriority w:val="99"/>
    <w:semiHidden/>
    <w:unhideWhenUsed/>
    <w:rsid w:val="002F7BE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F7BE6"/>
    <w:rPr>
      <w:rFonts w:ascii="Tahoma" w:hAnsi="Tahoma" w:cs="Tahoma"/>
      <w:sz w:val="16"/>
      <w:szCs w:val="16"/>
    </w:rPr>
  </w:style>
  <w:style w:type="paragraph" w:styleId="ListParagraph">
    <w:name w:val="List Paragraph"/>
    <w:basedOn w:val="Normal"/>
    <w:uiPriority w:val="34"/>
    <w:qFormat/>
    <w:rsid w:val="0029243A"/>
    <w:pPr>
      <w:ind w:left="720"/>
      <w:contextualSpacing/>
    </w:pPr>
  </w:style>
  <w:style w:type="paragraph" w:styleId="Caption">
    <w:name w:val="caption"/>
    <w:basedOn w:val="Normal"/>
    <w:next w:val="Normal"/>
    <w:uiPriority w:val="35"/>
    <w:unhideWhenUsed/>
    <w:qFormat/>
    <w:rsid w:val="000731DA"/>
    <w:pPr>
      <w:spacing w:line="240" w:lineRule="auto"/>
    </w:pPr>
    <w:rPr>
      <w:b/>
      <w:bCs/>
      <w:color w:val="4F81BD" w:themeColor="accent1"/>
      <w:sz w:val="18"/>
      <w:szCs w:val="18"/>
    </w:rPr>
  </w:style>
  <w:style w:type="paragraph" w:styleId="NoSpacing">
    <w:name w:val="No Spacing"/>
    <w:link w:val="NoSpacingChar"/>
    <w:uiPriority w:val="1"/>
    <w:qFormat/>
    <w:rsid w:val="00A825DF"/>
    <w:pPr>
      <w:spacing w:after="0" w:line="240" w:lineRule="auto"/>
    </w:pPr>
    <w:rPr>
      <w:rFonts w:eastAsiaTheme="minorEastAsia"/>
      <w:lang w:val="en-US" w:eastAsia="ja-JP"/>
    </w:rPr>
  </w:style>
  <w:style w:type="character" w:customStyle="1" w:styleId="NoSpacingChar">
    <w:name w:val="No Spacing Char"/>
    <w:basedOn w:val="DefaultParagraphFont"/>
    <w:link w:val="NoSpacing"/>
    <w:uiPriority w:val="1"/>
    <w:rsid w:val="00A825DF"/>
    <w:rPr>
      <w:rFonts w:eastAsiaTheme="minorEastAsia"/>
      <w:lang w:val="en-US" w:eastAsia="ja-JP"/>
    </w:rPr>
  </w:style>
  <w:style w:type="paragraph" w:customStyle="1" w:styleId="Default">
    <w:name w:val="Default"/>
    <w:rsid w:val="00A825D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25DF"/>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phy">
    <w:name w:val="Bibliography"/>
    <w:basedOn w:val="Normal"/>
    <w:next w:val="Normal"/>
    <w:uiPriority w:val="37"/>
    <w:unhideWhenUsed/>
    <w:rsid w:val="008178A6"/>
  </w:style>
  <w:style w:type="character" w:customStyle="1" w:styleId="Heading2Char">
    <w:name w:val="Heading 2 Char"/>
    <w:basedOn w:val="DefaultParagraphFont"/>
    <w:link w:val="Heading2"/>
    <w:uiPriority w:val="9"/>
    <w:rsid w:val="007A7FCF"/>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header" Target="header3.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HarvardAnglia2008OfficeOnline.xsl" StyleName="Harvard – Anglia 2008">
  <b:Source>
    <b:Tag>Pra16</b:Tag>
    <b:SourceType>JournalArticle</b:SourceType>
    <b:Guid>{083D572A-D308-4CB9-89C4-3DBC26C6A201}</b:Guid>
    <b:Title>An Introduction to the Concept of Environmental Management: Indian Context</b:Title>
    <b:Year>2016</b:Year>
    <b:Author>
      <b:Author>
        <b:NameList>
          <b:Person>
            <b:Last>Das</b:Last>
            <b:First>Pradip</b:First>
            <b:Middle>Kumar</b:Middle>
          </b:Person>
        </b:NameList>
      </b:Author>
    </b:Author>
    <b:JournalName>International Journal of Innovation and Economic Development</b:JournalName>
    <b:Pages>25-34</b:Pages>
    <b:Volume>2</b:Volume>
    <b:Issue>4</b:Issue>
    <b:RefOrder>4</b:RefOrder>
  </b:Source>
  <b:Source>
    <b:Tag>Lou09</b:Tag>
    <b:SourceType>Book</b:SourceType>
    <b:Guid>{40AB0537-8288-4CC7-BC01-ADC69CBA020B}</b:Guid>
    <b:Title>Environmental management in South Africa</b:Title>
    <b:Year>2009</b:Year>
    <b:Edition>2nd Edition</b:Edition>
    <b:Author>
      <b:Author>
        <b:NameList>
          <b:Person>
            <b:Last>Kotze</b:Last>
            <b:First>Louis</b:First>
          </b:Person>
          <b:Person>
            <b:Last>JG</b:Last>
            <b:First>Nel</b:First>
          </b:Person>
        </b:NameList>
      </b:Author>
    </b:Author>
    <b:RefOrder>5</b:RefOrder>
  </b:Source>
  <b:Source>
    <b:Tag>ADi16</b:Tag>
    <b:SourceType>JournalArticle</b:SourceType>
    <b:Guid>{B8D2AD7B-A43C-40BE-8E3E-DB94EE2A3CBC}</b:Guid>
    <b:Title>Implementation and Benefits of Environmental Management System</b:Title>
    <b:Year>2016</b:Year>
    <b:Author>
      <b:Author>
        <b:NameList>
          <b:Person>
            <b:Last>Dionis</b:Last>
            <b:First>A.</b:First>
          </b:Person>
          <b:Person>
            <b:Last>Adrian</b:Last>
            <b:First>M.</b:First>
          </b:Person>
          <b:Person>
            <b:Last>Gonzalez</b:Last>
            <b:First>J.</b:First>
          </b:Person>
          <b:Person>
            <b:Last>Luis</b:Last>
            <b:First>S.</b:First>
          </b:Person>
          <b:Person>
            <b:Last>Padron</b:Last>
            <b:First>F.</b:First>
          </b:Person>
          <b:Person>
            <b:Last>Pena</b:Last>
            <b:First>A.</b:First>
          </b:Person>
        </b:NameList>
      </b:Author>
    </b:Author>
    <b:JournalName>Journal of Maritime Research</b:JournalName>
    <b:Pages>77-81</b:Pages>
    <b:Volume>13</b:Volume>
    <b:RefOrder>6</b:RefOrder>
  </b:Source>
  <b:Source>
    <b:Tag>MJE16</b:Tag>
    <b:SourceType>Book</b:SourceType>
    <b:Guid>{9EB143AF-747F-45EF-92C4-5F81F041A3B2}</b:Guid>
    <b:Title>Making Sustainability Work: Best Practices in Managing and Measuring Corporate Social, Environmental, and Economic Impacts</b:Title>
    <b:Year>2016</b:Year>
    <b:Author>
      <b:Author>
        <b:NameList>
          <b:Person>
            <b:Last>Epstein</b:Last>
            <b:First>M</b:First>
            <b:Middle>J</b:Middle>
          </b:Person>
        </b:NameList>
      </b:Author>
    </b:Author>
    <b:Publisher> Berrett-Koehler</b:Publisher>
    <b:RefOrder>7</b:RefOrder>
  </b:Source>
  <b:Source>
    <b:Tag>PLo05</b:Tag>
    <b:SourceType>Book</b:SourceType>
    <b:Guid>{C398CF9E-91BF-493D-B3E6-C477B87EE712}</b:Guid>
    <b:Author>
      <b:Author>
        <b:NameList>
          <b:Person>
            <b:Last>Lochner</b:Last>
            <b:First>P</b:First>
          </b:Person>
        </b:NameList>
      </b:Author>
    </b:Author>
    <b:Title>Guideline for Environmental Management Plans. CSIR Report No ENV-S-C</b:Title>
    <b:Year>2005</b:Year>
    <b:City>Cape Town</b:City>
    <b:Publisher>Department of Environmental Affairs &amp; Development Planning</b:Publisher>
    <b:RefOrder>8</b:RefOrder>
  </b:Source>
  <b:Source>
    <b:Tag>Int18</b:Tag>
    <b:SourceType>InternetSite</b:SourceType>
    <b:Guid>{4223B779-7897-4061-B6AE-D0ACD4F473DF}</b:Guid>
    <b:Title>International Organization for Standardization</b:Title>
    <b:Year>2018</b:Year>
    <b:Author>
      <b:Author>
        <b:Corporate>International Organization for Standardization</b:Corporate>
      </b:Author>
    </b:Author>
    <b:YearAccessed>2019</b:YearAccessed>
    <b:MonthAccessed>January</b:MonthAccessed>
    <b:DayAccessed>23</b:DayAccessed>
    <b:URL>https://www.iso.org/about-us.html</b:URL>
    <b:RefOrder>1</b:RefOrder>
  </b:Source>
  <b:Source>
    <b:Tag>Mar19</b:Tag>
    <b:SourceType>ElectronicSource</b:SourceType>
    <b:Guid>{5243048B-6FC3-48D1-B566-58355FADE2D0}</b:Guid>
    <b:Title>Plan-Do-Check-Act in the ISO 14001 standard</b:Title>
    <b:Year>2019</b:Year>
    <b:Author>
      <b:Author>
        <b:NameList>
          <b:Person>
            <b:Last>Hammar</b:Last>
            <b:First>Mark</b:First>
          </b:Person>
        </b:NameList>
      </b:Author>
    </b:Author>
    <b:Publisher>14001 Academy </b:Publisher>
    <b:RefOrder>2</b:RefOrder>
  </b:Source>
  <b:Source>
    <b:Tag>MTa14</b:Tag>
    <b:SourceType>JournalArticle</b:SourceType>
    <b:Guid>{1F156E5E-B768-431C-9C65-FE890CED69A4}</b:Guid>
    <b:Title>Systematic Review of the application of the plan-do-study-act method to improve quality in healthcare</b:Title>
    <b:Year>2014</b:Year>
    <b:Author>
      <b:Author>
        <b:NameList>
          <b:Person>
            <b:Last>Taylor</b:Last>
            <b:First>M</b:First>
          </b:Person>
          <b:Person>
            <b:Last>McNicholas</b:Last>
            <b:First>C</b:First>
          </b:Person>
          <b:Person>
            <b:Last>Nicolay</b:Last>
            <b:First>C</b:First>
          </b:Person>
          <b:Person>
            <b:Last>Darz</b:Last>
            <b:First>A</b:First>
          </b:Person>
          <b:Person>
            <b:Last>Bell</b:Last>
            <b:First>D</b:First>
          </b:Person>
          <b:Person>
            <b:Last>Reed</b:Last>
            <b:First>J</b:First>
          </b:Person>
        </b:NameList>
      </b:Author>
    </b:Author>
    <b:JournalName>BMJ Qual Saf</b:JournalName>
    <b:Pages>290-298</b:Pages>
    <b:Volume>23</b:Volume>
    <b:RefOrder>3</b:RefOrder>
  </b:Source>
  <b:Source>
    <b:Tag>KAC19</b:Tag>
    <b:SourceType>DocumentFromInternetSite</b:SourceType>
    <b:Guid>{20ACB1E4-F9C8-4B16-82A3-8D6C1F357EE4}</b:Guid>
    <b:Author>
      <b:Author>
        <b:NameList>
          <b:Person>
            <b:Last>K.A.CHANDRAKANTH</b:Last>
          </b:Person>
        </b:NameList>
      </b:Author>
    </b:Author>
    <b:Title>Agile Alliance</b:Title>
    <b:Year>2019</b:Year>
    <b:YearAccessed>2019</b:YearAccessed>
    <b:MonthAccessed>February</b:MonthAccessed>
    <b:DayAccessed>Friday</b:DayAccessed>
    <b:URL>https://www.agilealliance.org/wp-content/uploads/2016/01/PDCA.pdf</b:URL>
    <b:RefOrder>9</b:RefOrder>
  </b:Source>
  <b:Source>
    <b:Tag>Moe06</b:Tag>
    <b:SourceType>ElectronicSource</b:SourceType>
    <b:Guid>{A09BC571-9B22-4225-B095-BED58280BBE0}</b:Guid>
    <b:Author>
      <b:Author>
        <b:NameList>
          <b:Person>
            <b:Last>Moen</b:Last>
            <b:First>R</b:First>
          </b:Person>
          <b:Person>
            <b:Last>Norman</b:Last>
            <b:First>C</b:First>
          </b:Person>
        </b:NameList>
      </b:Author>
    </b:Author>
    <b:Title>Evolution of the PDC</b:Title>
    <b:Year>2006</b:Year>
    <b:RefOrder>10</b:RefOrder>
  </b:Source>
  <b:Source>
    <b:Tag>Mut16</b:Tag>
    <b:SourceType>JournalArticle</b:SourceType>
    <b:Guid>{B77A0309-F5A7-4145-8B40-3F659009765D}</b:Guid>
    <b:Title>PDCA CYCLE</b:Title>
    <b:Year>2016</b:Year>
    <b:Author>
      <b:Author>
        <b:NameList>
          <b:Person>
            <b:Last>Muttu</b:Last>
            <b:First>Saraswath</b:First>
          </b:Person>
          <b:Person>
            <b:Last>Nordin</b:Last>
            <b:First>Norshahrizan</b:First>
          </b:Person>
        </b:NameList>
      </b:Author>
    </b:Author>
    <b:JournalName>SSRG International Journal of Mechanical Engineering (SSRG-IJME) </b:JournalName>
    <b:Volume>3</b:Volume>
    <b:Issue>5</b:Issue>
    <b:RefOrder>11</b:RefOrder>
  </b:Source>
  <b:Source>
    <b:Tag>Ros19</b:Tag>
    <b:SourceType>ElectronicSource</b:SourceType>
    <b:Guid>{2CF38849-9F8B-4AB3-9B41-F560C0B01869}</b:Guid>
    <b:Author>
      <b:Author>
        <b:NameList>
          <b:Person>
            <b:Last>Rossheim</b:Last>
            <b:First>John</b:First>
          </b:Person>
        </b:NameList>
      </b:Author>
    </b:Author>
    <b:Title>Environmental Accountants Do It for the Green</b:Title>
    <b:Year>2019</b:Year>
    <b:Publisher>Monster</b:Publisher>
    <b:RefOrder>12</b:RefOrder>
  </b:Source>
  <b:Source>
    <b:Tag>TSp04</b:Tag>
    <b:SourceType>JournalArticle</b:SourceType>
    <b:Guid>{8708A9DB-637F-4928-A9C0-713C977F900E}</b:Guid>
    <b:Author>
      <b:Author>
        <b:NameList>
          <b:Person>
            <b:Last>Speroff</b:Last>
            <b:First>T</b:First>
          </b:Person>
          <b:Person>
            <b:Last>O'Conner</b:Last>
            <b:First>G</b:First>
          </b:Person>
        </b:NameList>
      </b:Author>
    </b:Author>
    <b:Title>Study designs for PDSA quality improvement research</b:Title>
    <b:JournalName>Quality Management Health care</b:JournalName>
    <b:Year>2004</b:Year>
    <b:Pages>17-32</b:Pages>
    <b:Volume>13</b:Volume>
    <b:RefOrder>13</b:RefOrder>
  </b:Source>
  <b:Source>
    <b:Tag>Ste04</b:Tag>
    <b:SourceType>Misc</b:SourceType>
    <b:Guid>{35727FF8-1BF7-43BD-920B-BCF20829E756}</b:Guid>
    <b:Title>The PDCA Continuous Improvement Cycle</b:Title>
    <b:Year>2004</b:Year>
    <b:Author>
      <b:Author>
        <b:NameList>
          <b:Person>
            <b:Last>Vasovsk</b:Last>
            <b:First>Steve</b:First>
          </b:Person>
          <b:Person>
            <b:Last>Weinste</b:Last>
            <b:First>Jeremy</b:First>
          </b:Person>
        </b:NameList>
      </b:Author>
    </b:Author>
    <b:RefOrder>14</b:RefOrder>
  </b:Source>
</b:Sources>
</file>

<file path=customXml/itemProps1.xml><?xml version="1.0" encoding="utf-8"?>
<ds:datastoreItem xmlns:ds="http://schemas.openxmlformats.org/officeDocument/2006/customXml" ds:itemID="{3090AFD6-FF9A-4EDD-9D46-E4F8AF9993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1400</Words>
  <Characters>7981</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Scottish Water</Company>
  <LinksUpToDate>false</LinksUpToDate>
  <CharactersWithSpaces>9363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Stuart Clark</dc:creator>
  <cp:lastModifiedBy>Stuart Clark</cp:lastModifiedBy>
  <cp:revision>2</cp:revision>
  <dcterms:created xsi:type="dcterms:W3CDTF">2019-02-08T13:59:00Z</dcterms:created>
  <dcterms:modified xsi:type="dcterms:W3CDTF">2019-02-08T13:59:00Z</dcterms:modified>
</cp:coreProperties>
</file>