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B55F8" w:rsidP="00A851DA">
      <w:pPr>
        <w:rPr>
          <w:lang w:val="en-US"/>
        </w:rPr>
      </w:pPr>
      <w:r w:rsidRPr="006B55F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CED">
            <w:pPr>
              <w:pStyle w:val="Default"/>
              <w:rPr>
                <w:rFonts w:asciiTheme="minorHAnsi" w:hAnsiTheme="minorHAnsi"/>
              </w:rPr>
            </w:pPr>
            <w:r>
              <w:rPr>
                <w:rFonts w:asciiTheme="minorHAnsi" w:hAnsiTheme="minorHAnsi"/>
              </w:rPr>
              <w:t>Karen du Plessis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90CED">
            <w:pPr>
              <w:pStyle w:val="Default"/>
              <w:rPr>
                <w:rFonts w:asciiTheme="minorHAnsi" w:hAnsiTheme="minorHAnsi"/>
              </w:rPr>
            </w:pPr>
            <w:r>
              <w:rPr>
                <w:rFonts w:asciiTheme="minorHAnsi" w:hAnsiTheme="minorHAnsi"/>
              </w:rPr>
              <w:t>21173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CED">
            <w:pPr>
              <w:pStyle w:val="Default"/>
              <w:rPr>
                <w:rFonts w:asciiTheme="minorHAnsi" w:hAnsiTheme="minorHAnsi"/>
              </w:rPr>
            </w:pPr>
            <w:r>
              <w:rPr>
                <w:rFonts w:asciiTheme="minorHAnsi" w:hAnsiTheme="minorHAnsi"/>
              </w:rPr>
              <w:t>Accounting in Hospitality Industry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CED">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77765F" w:rsidRDefault="0077765F" w:rsidP="0077765F">
            <w:pPr>
              <w:spacing w:line="360" w:lineRule="auto"/>
              <w:ind w:left="567" w:hanging="567"/>
              <w:jc w:val="both"/>
              <w:rPr>
                <w:rFonts w:ascii="Arial" w:hAnsi="Arial" w:cs="Arial"/>
                <w:sz w:val="24"/>
                <w:szCs w:val="24"/>
              </w:rPr>
            </w:pPr>
            <w:r>
              <w:rPr>
                <w:rFonts w:ascii="Arial" w:hAnsi="Arial" w:cs="Arial"/>
                <w:sz w:val="24"/>
                <w:szCs w:val="24"/>
              </w:rPr>
              <w:t>Accounting in Hospitality</w:t>
            </w:r>
          </w:p>
          <w:p w:rsidR="0077765F" w:rsidRPr="007B1F26" w:rsidRDefault="0077765F" w:rsidP="0077765F">
            <w:pPr>
              <w:spacing w:line="360" w:lineRule="auto"/>
              <w:ind w:left="567" w:hanging="567"/>
              <w:jc w:val="both"/>
              <w:rPr>
                <w:rFonts w:ascii="Arial" w:hAnsi="Arial" w:cs="Arial"/>
                <w:sz w:val="24"/>
                <w:szCs w:val="24"/>
              </w:rPr>
            </w:pPr>
            <w:r w:rsidRPr="007B1F26">
              <w:rPr>
                <w:rFonts w:ascii="Arial" w:hAnsi="Arial" w:cs="Arial"/>
                <w:sz w:val="24"/>
                <w:szCs w:val="24"/>
              </w:rPr>
              <w:t>1</w:t>
            </w:r>
          </w:p>
          <w:p w:rsidR="0077765F" w:rsidRPr="007B1F26" w:rsidRDefault="0077765F" w:rsidP="0077765F">
            <w:pPr>
              <w:spacing w:line="360" w:lineRule="auto"/>
              <w:ind w:left="567" w:hanging="567"/>
              <w:jc w:val="both"/>
              <w:rPr>
                <w:rFonts w:ascii="Arial" w:hAnsi="Arial" w:cs="Arial"/>
                <w:sz w:val="24"/>
                <w:szCs w:val="24"/>
              </w:rPr>
            </w:pPr>
            <w:r>
              <w:rPr>
                <w:rFonts w:ascii="Arial" w:hAnsi="Arial" w:cs="Arial"/>
                <w:sz w:val="24"/>
                <w:szCs w:val="24"/>
              </w:rPr>
              <w:t>i</w:t>
            </w:r>
            <w:r>
              <w:rPr>
                <w:rFonts w:ascii="Arial" w:hAnsi="Arial" w:cs="Arial"/>
                <w:sz w:val="24"/>
                <w:szCs w:val="24"/>
              </w:rPr>
              <w:tab/>
            </w:r>
            <w:r w:rsidRPr="007B1F26">
              <w:rPr>
                <w:rFonts w:ascii="Arial" w:hAnsi="Arial" w:cs="Arial"/>
                <w:sz w:val="24"/>
                <w:szCs w:val="24"/>
              </w:rPr>
              <w:t>Basic accounting principles are a set of standards and procedures which track in a folio every transaction made for all hotel guests.  Money owed to the hotel by a guest is a debit and appears in a debit column on the left.  Money received from a guest, including funds paid in advance, to settle an account is a credit and appears in the credit column on the right.  The balance column shows the continuous difference between the credits and debits, using the principle of: Prior balance + debits – credits = net outstanding balance.</w:t>
            </w:r>
          </w:p>
          <w:p w:rsidR="0077765F" w:rsidRDefault="0077765F" w:rsidP="0077765F">
            <w:pPr>
              <w:spacing w:line="360" w:lineRule="auto"/>
              <w:ind w:left="567" w:hanging="567"/>
              <w:jc w:val="both"/>
              <w:rPr>
                <w:rFonts w:ascii="Arial" w:hAnsi="Arial" w:cs="Arial"/>
                <w:sz w:val="24"/>
                <w:szCs w:val="24"/>
              </w:rPr>
            </w:pPr>
            <w:r>
              <w:rPr>
                <w:rFonts w:ascii="Arial" w:hAnsi="Arial" w:cs="Arial"/>
                <w:sz w:val="24"/>
                <w:szCs w:val="24"/>
              </w:rPr>
              <w:t>ii</w:t>
            </w:r>
            <w:r>
              <w:rPr>
                <w:rFonts w:ascii="Arial" w:hAnsi="Arial" w:cs="Arial"/>
                <w:sz w:val="24"/>
                <w:szCs w:val="24"/>
              </w:rPr>
              <w:tab/>
              <w:t>A guest ledger is the complete set of all folio accounts of registered in-house guests at a hotel.  It keeps track of not only each individual guest balance in terms of debit, but also the net outstanding balance of the entire guest ledger.</w:t>
            </w:r>
          </w:p>
          <w:p w:rsidR="0077765F" w:rsidRDefault="0077765F" w:rsidP="0077765F">
            <w:pPr>
              <w:spacing w:line="360" w:lineRule="auto"/>
              <w:ind w:left="567" w:hanging="567"/>
              <w:jc w:val="both"/>
              <w:rPr>
                <w:rFonts w:ascii="Arial" w:hAnsi="Arial" w:cs="Arial"/>
                <w:sz w:val="24"/>
                <w:szCs w:val="24"/>
              </w:rPr>
            </w:pPr>
            <w:r>
              <w:rPr>
                <w:rFonts w:ascii="Arial" w:hAnsi="Arial" w:cs="Arial"/>
                <w:sz w:val="24"/>
                <w:szCs w:val="24"/>
              </w:rPr>
              <w:t>iii</w:t>
            </w:r>
            <w:r>
              <w:rPr>
                <w:rFonts w:ascii="Arial" w:hAnsi="Arial" w:cs="Arial"/>
                <w:sz w:val="24"/>
                <w:szCs w:val="24"/>
              </w:rPr>
              <w:tab/>
              <w:t>Information contained in a city ledger, a record of an account not belonging to a resident guest, are accounts such credit card payment accounts, direct billing accounts, disputed accounts, airlines and travel agencies.</w:t>
            </w:r>
          </w:p>
          <w:p w:rsidR="0077765F" w:rsidRDefault="0077765F" w:rsidP="0077765F">
            <w:pPr>
              <w:spacing w:line="360" w:lineRule="auto"/>
              <w:ind w:left="567" w:hanging="567"/>
              <w:rPr>
                <w:rFonts w:ascii="Arial" w:hAnsi="Arial" w:cs="Arial"/>
                <w:sz w:val="24"/>
                <w:szCs w:val="24"/>
              </w:rPr>
            </w:pPr>
            <w:r>
              <w:rPr>
                <w:rFonts w:ascii="Arial" w:hAnsi="Arial" w:cs="Arial"/>
                <w:sz w:val="24"/>
                <w:szCs w:val="24"/>
              </w:rPr>
              <w:t>iv</w:t>
            </w:r>
            <w:r>
              <w:rPr>
                <w:rFonts w:ascii="Arial" w:hAnsi="Arial" w:cs="Arial"/>
                <w:sz w:val="24"/>
                <w:szCs w:val="24"/>
              </w:rPr>
              <w:tab/>
              <w:t>Typical transactions by businesses include the following:</w:t>
            </w:r>
          </w:p>
          <w:p w:rsidR="0077765F" w:rsidRDefault="0077765F" w:rsidP="0077765F">
            <w:pPr>
              <w:spacing w:line="360" w:lineRule="auto"/>
              <w:ind w:left="567" w:hanging="567"/>
              <w:rPr>
                <w:rFonts w:ascii="Arial" w:hAnsi="Arial" w:cs="Arial"/>
                <w:sz w:val="24"/>
                <w:szCs w:val="24"/>
              </w:rPr>
            </w:pPr>
            <w:r>
              <w:rPr>
                <w:rFonts w:ascii="Arial" w:hAnsi="Arial" w:cs="Arial"/>
                <w:sz w:val="24"/>
                <w:szCs w:val="24"/>
              </w:rPr>
              <w:tab/>
              <w:t>Sales</w:t>
            </w:r>
            <w:r>
              <w:rPr>
                <w:rFonts w:ascii="Arial" w:hAnsi="Arial" w:cs="Arial"/>
                <w:sz w:val="24"/>
                <w:szCs w:val="24"/>
              </w:rPr>
              <w:br/>
            </w:r>
            <w:r>
              <w:rPr>
                <w:rFonts w:ascii="Arial" w:hAnsi="Arial" w:cs="Arial"/>
                <w:sz w:val="24"/>
                <w:szCs w:val="24"/>
              </w:rPr>
              <w:lastRenderedPageBreak/>
              <w:t>Accounts payable</w:t>
            </w:r>
            <w:r>
              <w:rPr>
                <w:rFonts w:ascii="Arial" w:hAnsi="Arial" w:cs="Arial"/>
                <w:sz w:val="24"/>
                <w:szCs w:val="24"/>
              </w:rPr>
              <w:br/>
              <w:t>Accounts receivable</w:t>
            </w:r>
            <w:r>
              <w:rPr>
                <w:rFonts w:ascii="Arial" w:hAnsi="Arial" w:cs="Arial"/>
                <w:sz w:val="24"/>
                <w:szCs w:val="24"/>
              </w:rPr>
              <w:br/>
              <w:t>Payroll</w:t>
            </w:r>
            <w:r>
              <w:rPr>
                <w:rFonts w:ascii="Arial" w:hAnsi="Arial" w:cs="Arial"/>
                <w:sz w:val="24"/>
                <w:szCs w:val="24"/>
              </w:rPr>
              <w:br/>
              <w:t>Banking</w:t>
            </w:r>
          </w:p>
          <w:p w:rsidR="0077765F" w:rsidRDefault="0077765F" w:rsidP="0077765F">
            <w:pPr>
              <w:spacing w:line="360" w:lineRule="auto"/>
              <w:ind w:left="567" w:hanging="567"/>
              <w:rPr>
                <w:rFonts w:ascii="Arial" w:hAnsi="Arial" w:cs="Arial"/>
                <w:sz w:val="24"/>
                <w:szCs w:val="24"/>
              </w:rPr>
            </w:pPr>
            <w:r>
              <w:rPr>
                <w:rFonts w:ascii="Arial" w:hAnsi="Arial" w:cs="Arial"/>
                <w:sz w:val="24"/>
                <w:szCs w:val="24"/>
              </w:rPr>
              <w:t>v</w:t>
            </w:r>
            <w:r>
              <w:rPr>
                <w:rFonts w:ascii="Arial" w:hAnsi="Arial" w:cs="Arial"/>
                <w:sz w:val="24"/>
                <w:szCs w:val="24"/>
              </w:rPr>
              <w:tab/>
              <w:t>Profit and loss accounts are a tool which gives business owners the opportunity to establish the financial behaviour of their business over a given period of time.   It also provides information about its financial position at the end of that duration.  Essentially: Income minus Expenses = Profit or Loss.</w:t>
            </w:r>
          </w:p>
          <w:p w:rsidR="0077765F" w:rsidRDefault="0077765F" w:rsidP="0077765F">
            <w:pPr>
              <w:spacing w:line="360" w:lineRule="auto"/>
              <w:ind w:left="567" w:hanging="567"/>
              <w:jc w:val="both"/>
              <w:rPr>
                <w:rFonts w:ascii="Arial" w:hAnsi="Arial" w:cs="Arial"/>
                <w:sz w:val="24"/>
                <w:szCs w:val="24"/>
              </w:rPr>
            </w:pPr>
            <w:r>
              <w:rPr>
                <w:rFonts w:ascii="Arial" w:hAnsi="Arial" w:cs="Arial"/>
                <w:sz w:val="24"/>
                <w:szCs w:val="24"/>
              </w:rPr>
              <w:t>vi</w:t>
            </w:r>
            <w:r>
              <w:rPr>
                <w:rFonts w:ascii="Arial" w:hAnsi="Arial" w:cs="Arial"/>
                <w:sz w:val="24"/>
                <w:szCs w:val="24"/>
              </w:rPr>
              <w:tab/>
              <w:t>Petty cash can be a more convenient way to pay smaller bills with cash.  Records of petty cash used are shown by noting the original petty cash balance, then keeping the receipt of the purchase along with the decreasing cash balance.</w:t>
            </w:r>
          </w:p>
          <w:p w:rsidR="0077765F" w:rsidRDefault="0077765F" w:rsidP="0077765F">
            <w:pPr>
              <w:spacing w:line="360" w:lineRule="auto"/>
              <w:ind w:left="567" w:hanging="567"/>
              <w:jc w:val="both"/>
              <w:rPr>
                <w:rFonts w:ascii="Arial" w:hAnsi="Arial" w:cs="Arial"/>
                <w:sz w:val="24"/>
                <w:szCs w:val="24"/>
              </w:rPr>
            </w:pPr>
            <w:r>
              <w:rPr>
                <w:rFonts w:ascii="Arial" w:hAnsi="Arial" w:cs="Arial"/>
                <w:sz w:val="24"/>
                <w:szCs w:val="24"/>
              </w:rPr>
              <w:t>vii</w:t>
            </w:r>
            <w:r>
              <w:rPr>
                <w:rFonts w:ascii="Arial" w:hAnsi="Arial" w:cs="Arial"/>
                <w:sz w:val="24"/>
                <w:szCs w:val="24"/>
              </w:rPr>
              <w:tab/>
              <w:t>The balance sheet provides, at the end of an accounting cycle or at any given point, a statement for a business of its financial standing; its total assets, liabilities and its net value.  Fixed Assets plus Current Assets minus Liabilities equals Capital.  Created at the end of a financial year, it is linked to the financial position on the date on which the books are closed.</w:t>
            </w:r>
          </w:p>
          <w:p w:rsidR="0077765F" w:rsidRDefault="0077765F" w:rsidP="0077765F">
            <w:pPr>
              <w:spacing w:line="360" w:lineRule="auto"/>
              <w:ind w:left="567" w:hanging="567"/>
              <w:jc w:val="both"/>
              <w:rPr>
                <w:rFonts w:ascii="Arial" w:hAnsi="Arial" w:cs="Arial"/>
                <w:sz w:val="24"/>
                <w:szCs w:val="24"/>
              </w:rPr>
            </w:pPr>
            <w:r>
              <w:rPr>
                <w:rFonts w:ascii="Arial" w:hAnsi="Arial" w:cs="Arial"/>
                <w:sz w:val="24"/>
                <w:szCs w:val="24"/>
              </w:rPr>
              <w:t>2</w:t>
            </w:r>
          </w:p>
          <w:p w:rsidR="0077765F" w:rsidRDefault="0077765F" w:rsidP="0077765F">
            <w:pPr>
              <w:spacing w:line="360" w:lineRule="auto"/>
              <w:jc w:val="both"/>
              <w:rPr>
                <w:rFonts w:ascii="Arial" w:hAnsi="Arial" w:cs="Arial"/>
                <w:sz w:val="24"/>
                <w:szCs w:val="24"/>
              </w:rPr>
            </w:pPr>
            <w:r>
              <w:rPr>
                <w:rFonts w:ascii="Arial" w:hAnsi="Arial" w:cs="Arial"/>
                <w:sz w:val="24"/>
                <w:szCs w:val="24"/>
              </w:rPr>
              <w:t>A Guest Account is the detailed financial transaction taking place between the hotel and its guest.  These are created either when the guest confirms their reservation or when they arrive and register at the front desk.  This account must be kept up to date with all the transactions associated with balance of the guest during the stay. The account is usually paid upon guest departure, unless a house limit is reached and the guest may be asked to settle part or the entire remaining bill.</w:t>
            </w:r>
          </w:p>
          <w:p w:rsidR="0077765F" w:rsidRPr="007B1F26" w:rsidRDefault="0077765F" w:rsidP="0077765F">
            <w:pPr>
              <w:spacing w:line="360" w:lineRule="auto"/>
              <w:jc w:val="both"/>
              <w:rPr>
                <w:rFonts w:ascii="Arial" w:hAnsi="Arial" w:cs="Arial"/>
                <w:sz w:val="24"/>
                <w:szCs w:val="24"/>
              </w:rPr>
            </w:pPr>
            <w:r>
              <w:rPr>
                <w:rFonts w:ascii="Arial" w:hAnsi="Arial" w:cs="Arial"/>
                <w:sz w:val="24"/>
                <w:szCs w:val="24"/>
              </w:rPr>
              <w:t>A Non-Guest Account is where a hotel can extend in-house limits to agencies, local establishments or groups sponsoring meetings.  Front office is required to make non-guest accounts so it is possible to keep track of transactions.  These types of accounts are created when an account is not settled on departure.  When the status changes from guest to non-guest the account then goes to the Accounts Department for account settlement.  These types of accounts are usually billed in monthly cycles.</w:t>
            </w:r>
          </w:p>
          <w:p w:rsidR="00CC2FB3" w:rsidRDefault="00CC2FB3" w:rsidP="0077765F">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77765F" w:rsidRDefault="0077765F">
      <w:pPr>
        <w:rPr>
          <w:rFonts w:cs="CalvertMT-Bold"/>
          <w:b/>
          <w:bCs/>
          <w:color w:val="002060"/>
          <w:sz w:val="28"/>
          <w:lang w:val="en-US"/>
        </w:rPr>
      </w:pPr>
      <w:r>
        <w:rPr>
          <w:rFonts w:cs="CalvertMT-Bold"/>
          <w:b/>
          <w:bCs/>
          <w:color w:val="002060"/>
          <w:sz w:val="28"/>
          <w:lang w:val="en-US"/>
        </w:rPr>
        <w:br w:type="page"/>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90CED" w:rsidP="00A851DA">
            <w:pPr>
              <w:rPr>
                <w:rFonts w:cs="Bliss-Regular"/>
                <w:color w:val="000000"/>
              </w:rPr>
            </w:pPr>
            <w:r>
              <w:rPr>
                <w:rFonts w:cs="Bliss-Regular"/>
                <w:color w:val="000000"/>
              </w:rPr>
              <w:t>Karen du Plessis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90CED" w:rsidP="00A851DA">
            <w:pPr>
              <w:rPr>
                <w:rFonts w:cs="Bliss-Regular"/>
                <w:color w:val="000000"/>
              </w:rPr>
            </w:pPr>
            <w:r>
              <w:rPr>
                <w:rFonts w:cs="Bliss-Regular"/>
                <w:color w:val="000000"/>
              </w:rPr>
              <w:t>6 May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0F59" w:rsidRDefault="00560F59" w:rsidP="00CB4D0A">
      <w:pPr>
        <w:spacing w:after="0" w:line="240" w:lineRule="auto"/>
      </w:pPr>
      <w:r>
        <w:separator/>
      </w:r>
    </w:p>
  </w:endnote>
  <w:endnote w:type="continuationSeparator" w:id="1">
    <w:p w:rsidR="00560F59" w:rsidRDefault="00560F5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0F59" w:rsidRDefault="00560F59" w:rsidP="00CB4D0A">
      <w:pPr>
        <w:spacing w:after="0" w:line="240" w:lineRule="auto"/>
      </w:pPr>
      <w:r>
        <w:separator/>
      </w:r>
    </w:p>
  </w:footnote>
  <w:footnote w:type="continuationSeparator" w:id="1">
    <w:p w:rsidR="00560F59" w:rsidRDefault="00560F59"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7261"/>
      <w:docPartObj>
        <w:docPartGallery w:val="Page Numbers (Top of Page)"/>
        <w:docPartUnique/>
      </w:docPartObj>
    </w:sdtPr>
    <w:sdtContent>
      <w:p w:rsidR="0077765F" w:rsidRDefault="0077765F" w:rsidP="0077765F">
        <w:pPr>
          <w:pStyle w:val="Header"/>
          <w:jc w:val="right"/>
        </w:pPr>
        <w:r>
          <w:t xml:space="preserve">Page </w:t>
        </w:r>
        <w:fldSimple w:instr=" PAGE   \* MERGEFORMAT ">
          <w:r>
            <w:rPr>
              <w:noProof/>
            </w:rPr>
            <w:t>1</w:t>
          </w:r>
        </w:fldSimple>
      </w:p>
    </w:sdtContent>
  </w:sdt>
  <w:p w:rsidR="0077765F" w:rsidRPr="00570CC3" w:rsidRDefault="0077765F" w:rsidP="0077765F">
    <w:pPr>
      <w:pStyle w:val="Header"/>
      <w:jc w:val="right"/>
      <w:rPr>
        <w:lang w:val="es-ES_tradnl"/>
      </w:rPr>
    </w:pPr>
    <w:r>
      <w:rPr>
        <w:lang w:val="es-ES_tradnl"/>
      </w:rPr>
      <w:t>Karen du Plessis.   21173.  Assignment 1.</w:t>
    </w:r>
  </w:p>
  <w:p w:rsidR="0077765F" w:rsidRDefault="0077765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46AC"/>
    <w:rsid w:val="002B0BD7"/>
    <w:rsid w:val="002B573D"/>
    <w:rsid w:val="002C5CB2"/>
    <w:rsid w:val="002F779F"/>
    <w:rsid w:val="00371885"/>
    <w:rsid w:val="00390CED"/>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0F59"/>
    <w:rsid w:val="00574D64"/>
    <w:rsid w:val="00591365"/>
    <w:rsid w:val="005B31E4"/>
    <w:rsid w:val="006034F6"/>
    <w:rsid w:val="00607874"/>
    <w:rsid w:val="00607E77"/>
    <w:rsid w:val="00617BB3"/>
    <w:rsid w:val="00645CDD"/>
    <w:rsid w:val="006823A7"/>
    <w:rsid w:val="00687EE8"/>
    <w:rsid w:val="006B55F8"/>
    <w:rsid w:val="0070347F"/>
    <w:rsid w:val="0070678E"/>
    <w:rsid w:val="0077765F"/>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3084F"/>
    <w:rsid w:val="00B7728E"/>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579</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Ana Maria</cp:lastModifiedBy>
  <cp:revision>3</cp:revision>
  <dcterms:created xsi:type="dcterms:W3CDTF">2018-05-06T09:37:00Z</dcterms:created>
  <dcterms:modified xsi:type="dcterms:W3CDTF">2018-05-06T12:18:00Z</dcterms:modified>
</cp:coreProperties>
</file>