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0AC05" w14:textId="04A58085" w:rsidR="000E5DD6" w:rsidRPr="000E5DD6" w:rsidRDefault="000E5DD6" w:rsidP="000E5DD6">
      <w:pPr>
        <w:widowControl w:val="0"/>
        <w:autoSpaceDE w:val="0"/>
        <w:autoSpaceDN w:val="0"/>
        <w:adjustRightInd w:val="0"/>
        <w:spacing w:after="0" w:line="240" w:lineRule="auto"/>
        <w:rPr>
          <w:rFonts w:ascii="Calibri" w:eastAsiaTheme="minorEastAsia" w:hAnsi="Calibri" w:cs="Calibri"/>
          <w:color w:val="000000"/>
          <w:sz w:val="24"/>
          <w:szCs w:val="24"/>
          <w:lang w:val="en" w:eastAsia="en-GB"/>
        </w:rPr>
      </w:pPr>
      <w:r w:rsidRPr="000E5DD6">
        <w:rPr>
          <w:rFonts w:ascii="Calibri" w:eastAsiaTheme="minorEastAsia" w:hAnsi="Calibri" w:cs="Calibri"/>
          <w:noProof/>
          <w:lang w:val="en" w:eastAsia="en-GB"/>
        </w:rPr>
        <w:drawing>
          <wp:inline distT="0" distB="0" distL="0" distR="0" wp14:anchorId="6A9E7162" wp14:editId="7B7CFA91">
            <wp:extent cx="2695575" cy="1362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5575" cy="1362075"/>
                    </a:xfrm>
                    <a:prstGeom prst="rect">
                      <a:avLst/>
                    </a:prstGeom>
                    <a:noFill/>
                    <a:ln>
                      <a:noFill/>
                    </a:ln>
                  </pic:spPr>
                </pic:pic>
              </a:graphicData>
            </a:graphic>
          </wp:inline>
        </w:drawing>
      </w:r>
      <w:r w:rsidRPr="000E5DD6">
        <w:rPr>
          <w:rFonts w:ascii="Calibri" w:eastAsiaTheme="minorEastAsia" w:hAnsi="Calibri" w:cs="Calibri"/>
          <w:color w:val="000000"/>
          <w:sz w:val="24"/>
          <w:szCs w:val="24"/>
          <w:lang w:val="en" w:eastAsia="en-GB"/>
        </w:rPr>
        <w:t xml:space="preserve">                                                                  </w:t>
      </w:r>
    </w:p>
    <w:p w14:paraId="0C84197B" w14:textId="77777777" w:rsidR="000E5DD6" w:rsidRPr="000E5DD6" w:rsidRDefault="000E5DD6" w:rsidP="000E5DD6">
      <w:pPr>
        <w:widowControl w:val="0"/>
        <w:autoSpaceDE w:val="0"/>
        <w:autoSpaceDN w:val="0"/>
        <w:adjustRightInd w:val="0"/>
        <w:spacing w:after="200" w:line="276" w:lineRule="auto"/>
        <w:jc w:val="center"/>
        <w:rPr>
          <w:rFonts w:ascii="Calibri" w:eastAsiaTheme="minorEastAsia" w:hAnsi="Calibri" w:cs="Calibri"/>
          <w:b/>
          <w:bCs/>
          <w:color w:val="002060"/>
          <w:sz w:val="44"/>
          <w:szCs w:val="44"/>
          <w:lang w:val="en" w:eastAsia="en-GB"/>
        </w:rPr>
      </w:pPr>
      <w:r w:rsidRPr="000E5DD6">
        <w:rPr>
          <w:rFonts w:ascii="Calibri" w:eastAsiaTheme="minorEastAsia" w:hAnsi="Calibri" w:cs="Calibri"/>
          <w:sz w:val="24"/>
          <w:szCs w:val="24"/>
          <w:lang w:val="en" w:eastAsia="en-GB"/>
        </w:rPr>
        <w:t xml:space="preserve">   </w:t>
      </w:r>
      <w:r w:rsidRPr="000E5DD6">
        <w:rPr>
          <w:rFonts w:ascii="Calibri" w:eastAsiaTheme="minorEastAsia" w:hAnsi="Calibri" w:cs="Calibri"/>
          <w:b/>
          <w:bCs/>
          <w:color w:val="002060"/>
          <w:sz w:val="44"/>
          <w:szCs w:val="44"/>
          <w:lang w:val="en" w:eastAsia="en-GB"/>
        </w:rPr>
        <w:t>Assignment Cover Sheet</w:t>
      </w:r>
    </w:p>
    <w:p w14:paraId="42D2391C"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lang w:val="en" w:eastAsia="en-GB"/>
        </w:rPr>
      </w:pPr>
    </w:p>
    <w:p w14:paraId="15E5AE35"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lang w:val="en" w:eastAsia="en-GB"/>
        </w:rPr>
      </w:pPr>
    </w:p>
    <w:p w14:paraId="2758E239"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lang w:val="en" w:eastAsia="en-GB"/>
        </w:rPr>
      </w:pPr>
    </w:p>
    <w:p w14:paraId="17EB7CAD"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lang w:val="en" w:eastAsia="en-GB"/>
        </w:rPr>
      </w:pPr>
    </w:p>
    <w:p w14:paraId="401AB5C4"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lang w:val="en" w:eastAsia="en-GB"/>
        </w:rPr>
      </w:pPr>
    </w:p>
    <w:tbl>
      <w:tblPr>
        <w:tblW w:w="0" w:type="auto"/>
        <w:tblInd w:w="108" w:type="dxa"/>
        <w:tblLayout w:type="fixed"/>
        <w:tblLook w:val="0000" w:firstRow="0" w:lastRow="0" w:firstColumn="0" w:lastColumn="0" w:noHBand="0" w:noVBand="0"/>
      </w:tblPr>
      <w:tblGrid>
        <w:gridCol w:w="2566"/>
        <w:gridCol w:w="6676"/>
      </w:tblGrid>
      <w:tr w:rsidR="000E5DD6" w:rsidRPr="000E5DD6" w14:paraId="794BEAC4" w14:textId="77777777" w:rsidTr="00FA4813">
        <w:tblPrEx>
          <w:tblCellMar>
            <w:top w:w="0" w:type="dxa"/>
            <w:bottom w:w="0" w:type="dxa"/>
          </w:tblCellMar>
        </w:tblPrEx>
        <w:trPr>
          <w:trHeight w:val="1"/>
        </w:trPr>
        <w:tc>
          <w:tcPr>
            <w:tcW w:w="2566" w:type="dxa"/>
            <w:tcBorders>
              <w:top w:val="single" w:sz="3" w:space="0" w:color="000000"/>
              <w:left w:val="single" w:sz="3" w:space="0" w:color="000000"/>
              <w:bottom w:val="single" w:sz="3" w:space="0" w:color="000000"/>
              <w:right w:val="single" w:sz="3" w:space="0" w:color="000000"/>
            </w:tcBorders>
            <w:shd w:val="clear" w:color="auto" w:fill="D9D9D9"/>
          </w:tcPr>
          <w:p w14:paraId="5BBBED87"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b/>
                <w:bCs/>
                <w:color w:val="002060"/>
                <w:lang w:val="en" w:eastAsia="en-GB"/>
              </w:rPr>
              <w:t>Student Name:</w:t>
            </w:r>
          </w:p>
        </w:tc>
        <w:tc>
          <w:tcPr>
            <w:tcW w:w="6676" w:type="dxa"/>
            <w:tcBorders>
              <w:top w:val="single" w:sz="3" w:space="0" w:color="000000"/>
              <w:left w:val="single" w:sz="3" w:space="0" w:color="000000"/>
              <w:bottom w:val="single" w:sz="3" w:space="0" w:color="000000"/>
              <w:right w:val="single" w:sz="3" w:space="0" w:color="000000"/>
            </w:tcBorders>
            <w:shd w:val="clear" w:color="000000" w:fill="FFFFFF"/>
          </w:tcPr>
          <w:p w14:paraId="53943F44"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lang w:val="en" w:eastAsia="en-GB"/>
              </w:rPr>
              <w:t>Isabel Micallef</w:t>
            </w:r>
          </w:p>
        </w:tc>
      </w:tr>
      <w:tr w:rsidR="000E5DD6" w:rsidRPr="000E5DD6" w14:paraId="59C9BFC2" w14:textId="77777777" w:rsidTr="00FA4813">
        <w:tblPrEx>
          <w:tblCellMar>
            <w:top w:w="0" w:type="dxa"/>
            <w:bottom w:w="0" w:type="dxa"/>
          </w:tblCellMar>
        </w:tblPrEx>
        <w:trPr>
          <w:trHeight w:val="1"/>
        </w:trPr>
        <w:tc>
          <w:tcPr>
            <w:tcW w:w="2566" w:type="dxa"/>
            <w:tcBorders>
              <w:top w:val="single" w:sz="3" w:space="0" w:color="000000"/>
              <w:left w:val="single" w:sz="3" w:space="0" w:color="000000"/>
              <w:bottom w:val="single" w:sz="3" w:space="0" w:color="000000"/>
              <w:right w:val="single" w:sz="3" w:space="0" w:color="000000"/>
            </w:tcBorders>
            <w:shd w:val="clear" w:color="auto" w:fill="D9D9D9"/>
          </w:tcPr>
          <w:p w14:paraId="707A63F3"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b/>
                <w:bCs/>
                <w:color w:val="002060"/>
                <w:lang w:val="en" w:eastAsia="en-GB"/>
              </w:rPr>
              <w:t>Student Number:</w:t>
            </w:r>
          </w:p>
        </w:tc>
        <w:tc>
          <w:tcPr>
            <w:tcW w:w="6676" w:type="dxa"/>
            <w:tcBorders>
              <w:top w:val="single" w:sz="3" w:space="0" w:color="000000"/>
              <w:left w:val="single" w:sz="3" w:space="0" w:color="000000"/>
              <w:bottom w:val="single" w:sz="3" w:space="0" w:color="000000"/>
              <w:right w:val="single" w:sz="3" w:space="0" w:color="000000"/>
            </w:tcBorders>
            <w:shd w:val="clear" w:color="000000" w:fill="FFFFFF"/>
          </w:tcPr>
          <w:p w14:paraId="22596022"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lang w:val="en" w:eastAsia="en-GB"/>
              </w:rPr>
              <w:t>34430</w:t>
            </w:r>
          </w:p>
        </w:tc>
      </w:tr>
      <w:tr w:rsidR="000E5DD6" w:rsidRPr="000E5DD6" w14:paraId="22628CAE" w14:textId="77777777" w:rsidTr="00FA4813">
        <w:tblPrEx>
          <w:tblCellMar>
            <w:top w:w="0" w:type="dxa"/>
            <w:bottom w:w="0" w:type="dxa"/>
          </w:tblCellMar>
        </w:tblPrEx>
        <w:trPr>
          <w:trHeight w:val="1"/>
        </w:trPr>
        <w:tc>
          <w:tcPr>
            <w:tcW w:w="2566" w:type="dxa"/>
            <w:tcBorders>
              <w:top w:val="single" w:sz="3" w:space="0" w:color="000000"/>
              <w:left w:val="single" w:sz="3" w:space="0" w:color="000000"/>
              <w:bottom w:val="single" w:sz="3" w:space="0" w:color="000000"/>
              <w:right w:val="single" w:sz="3" w:space="0" w:color="000000"/>
            </w:tcBorders>
            <w:shd w:val="clear" w:color="auto" w:fill="D9D9D9"/>
          </w:tcPr>
          <w:p w14:paraId="2BCE534A"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b/>
                <w:bCs/>
                <w:color w:val="002060"/>
                <w:lang w:val="en" w:eastAsia="en-GB"/>
              </w:rPr>
              <w:t>Course:</w:t>
            </w:r>
          </w:p>
        </w:tc>
        <w:tc>
          <w:tcPr>
            <w:tcW w:w="6676" w:type="dxa"/>
            <w:tcBorders>
              <w:top w:val="single" w:sz="3" w:space="0" w:color="000000"/>
              <w:left w:val="single" w:sz="3" w:space="0" w:color="000000"/>
              <w:bottom w:val="single" w:sz="3" w:space="0" w:color="000000"/>
              <w:right w:val="single" w:sz="3" w:space="0" w:color="000000"/>
            </w:tcBorders>
            <w:shd w:val="clear" w:color="000000" w:fill="FFFFFF"/>
          </w:tcPr>
          <w:p w14:paraId="255E013F"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lang w:val="en" w:eastAsia="en-GB"/>
              </w:rPr>
              <w:t>Advanced Diploma in Public Relations Level 5</w:t>
            </w:r>
          </w:p>
        </w:tc>
      </w:tr>
      <w:tr w:rsidR="000E5DD6" w:rsidRPr="000E5DD6" w14:paraId="64D4B908" w14:textId="77777777" w:rsidTr="00FA4813">
        <w:tblPrEx>
          <w:tblCellMar>
            <w:top w:w="0" w:type="dxa"/>
            <w:bottom w:w="0" w:type="dxa"/>
          </w:tblCellMar>
        </w:tblPrEx>
        <w:trPr>
          <w:trHeight w:val="1"/>
        </w:trPr>
        <w:tc>
          <w:tcPr>
            <w:tcW w:w="2566" w:type="dxa"/>
            <w:tcBorders>
              <w:top w:val="single" w:sz="3" w:space="0" w:color="000000"/>
              <w:left w:val="single" w:sz="3" w:space="0" w:color="000000"/>
              <w:bottom w:val="single" w:sz="3" w:space="0" w:color="000000"/>
              <w:right w:val="single" w:sz="3" w:space="0" w:color="000000"/>
            </w:tcBorders>
            <w:shd w:val="clear" w:color="auto" w:fill="D9D9D9"/>
          </w:tcPr>
          <w:p w14:paraId="39BBAAEE"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b/>
                <w:bCs/>
                <w:color w:val="002060"/>
                <w:lang w:val="en" w:eastAsia="en-GB"/>
              </w:rPr>
              <w:t>Assignment NO:</w:t>
            </w:r>
          </w:p>
        </w:tc>
        <w:tc>
          <w:tcPr>
            <w:tcW w:w="6676" w:type="dxa"/>
            <w:tcBorders>
              <w:top w:val="single" w:sz="3" w:space="0" w:color="000000"/>
              <w:left w:val="single" w:sz="3" w:space="0" w:color="000000"/>
              <w:bottom w:val="single" w:sz="3" w:space="0" w:color="000000"/>
              <w:right w:val="single" w:sz="3" w:space="0" w:color="000000"/>
            </w:tcBorders>
            <w:shd w:val="clear" w:color="000000" w:fill="FFFFFF"/>
          </w:tcPr>
          <w:p w14:paraId="6F993D62"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lang w:val="en" w:eastAsia="en-GB"/>
              </w:rPr>
              <w:t>1</w:t>
            </w:r>
          </w:p>
        </w:tc>
      </w:tr>
    </w:tbl>
    <w:p w14:paraId="4FCB5F6B"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b/>
          <w:bCs/>
          <w:lang w:val="en" w:eastAsia="en-GB"/>
        </w:rPr>
      </w:pPr>
    </w:p>
    <w:p w14:paraId="48185AD8"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b/>
          <w:bCs/>
          <w:sz w:val="28"/>
          <w:szCs w:val="28"/>
          <w:lang w:val="en" w:eastAsia="en-GB"/>
        </w:rPr>
      </w:pPr>
      <w:r w:rsidRPr="000E5DD6">
        <w:rPr>
          <w:rFonts w:ascii="Calibri" w:eastAsiaTheme="minorEastAsia" w:hAnsi="Calibri" w:cs="Calibri"/>
          <w:b/>
          <w:bCs/>
          <w:sz w:val="28"/>
          <w:szCs w:val="28"/>
          <w:lang w:val="en" w:eastAsia="en-GB"/>
        </w:rPr>
        <w:t>Marking Criteria:</w:t>
      </w:r>
    </w:p>
    <w:p w14:paraId="6961FB8A"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lang w:val="en" w:eastAsia="en-GB"/>
        </w:rPr>
      </w:pPr>
      <w:r w:rsidRPr="000E5DD6">
        <w:rPr>
          <w:rFonts w:ascii="Calibri" w:eastAsiaTheme="minorEastAsia" w:hAnsi="Calibri" w:cs="Calibri"/>
          <w:b/>
          <w:bCs/>
          <w:lang w:val="en" w:eastAsia="en-GB"/>
        </w:rPr>
        <w:t xml:space="preserve"> </w:t>
      </w:r>
      <w:r w:rsidRPr="000E5DD6">
        <w:rPr>
          <w:rFonts w:ascii="Calibri" w:eastAsiaTheme="minorEastAsia" w:hAnsi="Calibri" w:cs="Calibri"/>
          <w:lang w:val="en" w:eastAsia="en-GB"/>
        </w:rPr>
        <w:t>We expect the learners to write minimum one well expressed point in three lines against each allocated mark. This means one needs to write 15 lines with 5 well expressed points to get high grades for a 5 marks question.</w:t>
      </w:r>
    </w:p>
    <w:p w14:paraId="6EFBCCA0"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lang w:val="en" w:eastAsia="en-GB"/>
        </w:rPr>
      </w:pPr>
      <w:r w:rsidRPr="000E5DD6">
        <w:rPr>
          <w:rFonts w:ascii="Calibri" w:eastAsiaTheme="minorEastAsia" w:hAnsi="Calibri" w:cs="Calibri"/>
          <w:lang w:val="en" w:eastAsia="en-GB"/>
        </w:rPr>
        <w:t xml:space="preserve">For high grades use examples and illustrations where appropriate. </w:t>
      </w:r>
    </w:p>
    <w:p w14:paraId="3CD84D9B" w14:textId="77777777" w:rsidR="000E5DD6" w:rsidRDefault="000E5DD6" w:rsidP="000E5DD6">
      <w:pPr>
        <w:spacing w:line="360" w:lineRule="auto"/>
        <w:ind w:left="720" w:hanging="360"/>
      </w:pPr>
    </w:p>
    <w:p w14:paraId="473C535D" w14:textId="0334D0F0" w:rsidR="000E5DD6" w:rsidRPr="000E5DD6" w:rsidRDefault="000E5DD6" w:rsidP="000E5DD6">
      <w:pPr>
        <w:pStyle w:val="ListParagraph"/>
        <w:numPr>
          <w:ilvl w:val="0"/>
          <w:numId w:val="5"/>
        </w:numPr>
        <w:spacing w:line="360" w:lineRule="auto"/>
        <w:rPr>
          <w:rFonts w:ascii="Arial" w:hAnsi="Arial" w:cs="Arial"/>
          <w:sz w:val="24"/>
          <w:szCs w:val="24"/>
        </w:rPr>
      </w:pPr>
      <w:r w:rsidRPr="000E5DD6">
        <w:rPr>
          <w:rFonts w:ascii="Arial" w:hAnsi="Arial" w:cs="Arial"/>
          <w:sz w:val="24"/>
          <w:szCs w:val="24"/>
        </w:rPr>
        <w:t xml:space="preserve">Public relations </w:t>
      </w:r>
      <w:proofErr w:type="gramStart"/>
      <w:r w:rsidRPr="000E5DD6">
        <w:rPr>
          <w:rFonts w:ascii="Arial" w:hAnsi="Arial" w:cs="Arial"/>
          <w:sz w:val="24"/>
          <w:szCs w:val="24"/>
        </w:rPr>
        <w:t>is</w:t>
      </w:r>
      <w:proofErr w:type="gramEnd"/>
      <w:r w:rsidRPr="000E5DD6">
        <w:rPr>
          <w:rFonts w:ascii="Arial" w:hAnsi="Arial" w:cs="Arial"/>
          <w:sz w:val="24"/>
          <w:szCs w:val="24"/>
        </w:rPr>
        <w:t xml:space="preserve"> the continued effort to establish mutual understanding and goodwill between an organisation and it's public.</w:t>
      </w:r>
    </w:p>
    <w:p w14:paraId="7056FF28" w14:textId="2B793E10" w:rsidR="000E5DD6" w:rsidRPr="000E5DD6" w:rsidRDefault="000E5DD6" w:rsidP="000E5DD6">
      <w:pPr>
        <w:pStyle w:val="ListParagraph"/>
        <w:numPr>
          <w:ilvl w:val="0"/>
          <w:numId w:val="5"/>
        </w:numPr>
        <w:spacing w:line="360" w:lineRule="auto"/>
        <w:rPr>
          <w:rFonts w:ascii="Arial" w:hAnsi="Arial" w:cs="Arial"/>
          <w:sz w:val="24"/>
          <w:szCs w:val="24"/>
        </w:rPr>
      </w:pPr>
      <w:r w:rsidRPr="000E5DD6">
        <w:rPr>
          <w:rFonts w:ascii="Arial" w:hAnsi="Arial" w:cs="Arial"/>
          <w:sz w:val="24"/>
          <w:szCs w:val="24"/>
        </w:rPr>
        <w:t xml:space="preserve">Public relations </w:t>
      </w:r>
      <w:proofErr w:type="gramStart"/>
      <w:r w:rsidRPr="000E5DD6">
        <w:rPr>
          <w:rFonts w:ascii="Arial" w:hAnsi="Arial" w:cs="Arial"/>
          <w:sz w:val="24"/>
          <w:szCs w:val="24"/>
        </w:rPr>
        <w:t>is</w:t>
      </w:r>
      <w:proofErr w:type="gramEnd"/>
      <w:r w:rsidRPr="000E5DD6">
        <w:rPr>
          <w:rFonts w:ascii="Arial" w:hAnsi="Arial" w:cs="Arial"/>
          <w:sz w:val="24"/>
          <w:szCs w:val="24"/>
        </w:rPr>
        <w:t xml:space="preserve"> necessary for the success of an organisation because through developing a good relationship with their public, companies can continually offer a level of service that outreaches that of their competitors. This not only ensures a loyal consumer base it also lends itself to the likelihood of a steady growth of clients in the future due to the good reputation of the company.</w:t>
      </w:r>
    </w:p>
    <w:p w14:paraId="5487A2B5" w14:textId="444981BF" w:rsidR="000E5DD6" w:rsidRPr="000E5DD6" w:rsidRDefault="000E5DD6" w:rsidP="000E5DD6">
      <w:pPr>
        <w:pStyle w:val="ListParagraph"/>
        <w:numPr>
          <w:ilvl w:val="0"/>
          <w:numId w:val="5"/>
        </w:numPr>
        <w:spacing w:line="360" w:lineRule="auto"/>
        <w:rPr>
          <w:rFonts w:ascii="Arial" w:hAnsi="Arial" w:cs="Arial"/>
          <w:sz w:val="24"/>
          <w:szCs w:val="24"/>
        </w:rPr>
      </w:pPr>
      <w:r w:rsidRPr="000E5DD6">
        <w:rPr>
          <w:rFonts w:ascii="Arial" w:hAnsi="Arial" w:cs="Arial"/>
          <w:sz w:val="24"/>
          <w:szCs w:val="24"/>
        </w:rPr>
        <w:lastRenderedPageBreak/>
        <w:t>The term publics can refer to the internal or external public of a company. The internal public would include management, stakeholders and employees whereas the external public of a company would include investors, the media, the local community and customers.</w:t>
      </w:r>
    </w:p>
    <w:p w14:paraId="7279D949" w14:textId="522A852B" w:rsidR="000E5DD6" w:rsidRPr="000E5DD6" w:rsidRDefault="000E5DD6" w:rsidP="000E5DD6">
      <w:pPr>
        <w:pStyle w:val="ListParagraph"/>
        <w:numPr>
          <w:ilvl w:val="0"/>
          <w:numId w:val="5"/>
        </w:numPr>
        <w:spacing w:line="360" w:lineRule="auto"/>
        <w:rPr>
          <w:rFonts w:ascii="Arial" w:hAnsi="Arial" w:cs="Arial"/>
          <w:sz w:val="24"/>
          <w:szCs w:val="24"/>
        </w:rPr>
      </w:pPr>
      <w:r w:rsidRPr="000E5DD6">
        <w:rPr>
          <w:rFonts w:ascii="Arial" w:hAnsi="Arial" w:cs="Arial"/>
          <w:sz w:val="24"/>
          <w:szCs w:val="24"/>
        </w:rPr>
        <w:t>There are four stages to the public relations process. The first stage would be to research the company or organisation itself, the problem or potential problems facing the company or organisation, as well as the public this would be affecting. Secondly, you would plan what action can be taken to resolve the situation based on the research completed. This plan would include identifying objectives or goals of the company or organisation, identifying their public, and creating a theme for the project. The third stage would be where you develop and implement the tactics for communication, you would produce a timeline for the project, as well as a budget. The fourth and final stage is where you identify which research methods are to be used to evaluate the progress for the project, to be done during the project, and which methods are to be used to evaluate the overall success of the project and whether it has met the set objectives, to be done after the project.</w:t>
      </w:r>
    </w:p>
    <w:p w14:paraId="4791B610" w14:textId="2C2B21FB" w:rsidR="000E5DD6" w:rsidRPr="000E5DD6" w:rsidRDefault="000E5DD6" w:rsidP="000E5DD6">
      <w:pPr>
        <w:pStyle w:val="ListParagraph"/>
        <w:numPr>
          <w:ilvl w:val="0"/>
          <w:numId w:val="5"/>
        </w:numPr>
        <w:spacing w:line="360" w:lineRule="auto"/>
        <w:rPr>
          <w:rFonts w:ascii="Arial" w:hAnsi="Arial" w:cs="Arial"/>
          <w:sz w:val="24"/>
          <w:szCs w:val="24"/>
        </w:rPr>
      </w:pPr>
      <w:r w:rsidRPr="000E5DD6">
        <w:rPr>
          <w:rFonts w:ascii="Arial" w:hAnsi="Arial" w:cs="Arial"/>
          <w:sz w:val="24"/>
          <w:szCs w:val="24"/>
        </w:rPr>
        <w:t>The six elements of communication are as follows; the sender of the message, the context of the message, the information contained in the message, the medium in which the message is sent, the receiver of the message and the feedback of the receiver to the original sender.</w:t>
      </w:r>
    </w:p>
    <w:p w14:paraId="3C02570F" w14:textId="77777777" w:rsidR="000E5DD6" w:rsidRPr="000E5DD6" w:rsidRDefault="000E5DD6" w:rsidP="000E5DD6">
      <w:pPr>
        <w:spacing w:line="360" w:lineRule="auto"/>
        <w:rPr>
          <w:rFonts w:ascii="Arial" w:hAnsi="Arial" w:cs="Arial"/>
          <w:sz w:val="24"/>
          <w:szCs w:val="24"/>
        </w:rPr>
      </w:pPr>
    </w:p>
    <w:p w14:paraId="40D2ACB9" w14:textId="161C26DD" w:rsidR="000E5DD6" w:rsidRPr="000E5DD6" w:rsidRDefault="000E5DD6" w:rsidP="000E5DD6">
      <w:pPr>
        <w:pStyle w:val="ListParagraph"/>
        <w:numPr>
          <w:ilvl w:val="0"/>
          <w:numId w:val="6"/>
        </w:numPr>
        <w:spacing w:line="360" w:lineRule="auto"/>
        <w:rPr>
          <w:rFonts w:ascii="Arial" w:hAnsi="Arial" w:cs="Arial"/>
          <w:sz w:val="24"/>
          <w:szCs w:val="24"/>
        </w:rPr>
      </w:pPr>
      <w:r w:rsidRPr="000E5DD6">
        <w:rPr>
          <w:rFonts w:ascii="Arial" w:hAnsi="Arial" w:cs="Arial"/>
          <w:sz w:val="24"/>
          <w:szCs w:val="24"/>
        </w:rPr>
        <w:t xml:space="preserve">The main public of a local governmental authority would be any one who interacts with the services of the local authority. This includes people for whom the council provides certain services such as; housing, schools and waste collection. The main public of a local governmental authority would also include people who had enlisted the services of said authority, these people could include anyone from local business owners who would seek out business support to home owners requiring pest control services. While the main public of a local governmental authority would mostly consist of residents and business owners of the area, it is also worth considering those who may be visiting or just passing through the area. Poor maintenance of </w:t>
      </w:r>
      <w:r w:rsidRPr="000E5DD6">
        <w:rPr>
          <w:rFonts w:ascii="Arial" w:hAnsi="Arial" w:cs="Arial"/>
          <w:sz w:val="24"/>
          <w:szCs w:val="24"/>
        </w:rPr>
        <w:lastRenderedPageBreak/>
        <w:t>areas such as parks and recreational spaces, or environmental protection of areas such as lakes or rivers can leave a lasting impression on visitors and negatively affect the public opinion of the local governmental authority.</w:t>
      </w:r>
    </w:p>
    <w:p w14:paraId="6D38F99D" w14:textId="77777777" w:rsidR="000E5DD6" w:rsidRPr="000E5DD6" w:rsidRDefault="000E5DD6" w:rsidP="000E5DD6">
      <w:pPr>
        <w:spacing w:line="360" w:lineRule="auto"/>
        <w:rPr>
          <w:rFonts w:ascii="Arial" w:hAnsi="Arial" w:cs="Arial"/>
          <w:sz w:val="24"/>
          <w:szCs w:val="24"/>
        </w:rPr>
      </w:pPr>
    </w:p>
    <w:p w14:paraId="3DCCF605" w14:textId="6C82C44D" w:rsidR="000E5DD6" w:rsidRPr="000E5DD6" w:rsidRDefault="000E5DD6" w:rsidP="000E5DD6">
      <w:pPr>
        <w:pStyle w:val="ListParagraph"/>
        <w:numPr>
          <w:ilvl w:val="0"/>
          <w:numId w:val="6"/>
        </w:numPr>
        <w:spacing w:line="360" w:lineRule="auto"/>
        <w:rPr>
          <w:rFonts w:ascii="Arial" w:hAnsi="Arial" w:cs="Arial"/>
          <w:sz w:val="24"/>
          <w:szCs w:val="24"/>
        </w:rPr>
      </w:pPr>
      <w:r w:rsidRPr="000E5DD6">
        <w:rPr>
          <w:rFonts w:ascii="Arial" w:hAnsi="Arial" w:cs="Arial"/>
          <w:sz w:val="24"/>
          <w:szCs w:val="24"/>
        </w:rPr>
        <w:t>The above identified public has an interest in the developmental policies of the local authority for several reasons, the first being that the developmental policies of the local authority outline what action is to be taken in their local area over the next six years. This will have a direct impact on their lives. This can be with regards to the intended use for areas such as residential, industrial and agricultural areas. The increase of residential areas may be something the public is appreciative of whereas the increase of industrial areas can result in mixed feedback from the concerned public. There may be two main factions in this group, the interested business parties and those looking for an increase in employment in the area would welcome this change however the more ecologically minded may bemoan the increase in pollution in the area. As well as the identified public being affected by the developmental policies, they can also have a great effect on the policies themselves. Prior to developmental policies being approved there is a planning stage in which the proposed plans are presented to the public for consultation. Local business owners looking to expand and developers interested in the area can use this time to see what areas have already been allocated for planning permission and what the likelihood of further planning permission being granted is. Local schools and residents can use this time to petition the local government for more parks or outdoor spaces for play and development. The public of the local governmental authority, at this stage, would also include various statutory agencies and voluntary or communal organisations. These groups would be consulted by the local authority during this process to give specialist advice and any observations they have made. This would include how the proposed plan supports the view the local authority wishes to present to their public and how the public believes plans can be improved to help merge the needs of the public with the view of the local authority.</w:t>
      </w:r>
    </w:p>
    <w:p w14:paraId="7B06EC90" w14:textId="77777777" w:rsidR="000E5DD6" w:rsidRPr="000E5DD6" w:rsidRDefault="000E5DD6" w:rsidP="000E5DD6">
      <w:pPr>
        <w:spacing w:line="360" w:lineRule="auto"/>
        <w:rPr>
          <w:rFonts w:ascii="Arial" w:hAnsi="Arial" w:cs="Arial"/>
          <w:sz w:val="24"/>
          <w:szCs w:val="24"/>
        </w:rPr>
      </w:pPr>
    </w:p>
    <w:p w14:paraId="53AE4CD8" w14:textId="77777777" w:rsidR="000E5DD6" w:rsidRPr="000E5DD6" w:rsidRDefault="000E5DD6" w:rsidP="000E5DD6">
      <w:pPr>
        <w:spacing w:line="360" w:lineRule="auto"/>
        <w:rPr>
          <w:rFonts w:ascii="Arial" w:hAnsi="Arial" w:cs="Arial"/>
          <w:sz w:val="24"/>
          <w:szCs w:val="24"/>
        </w:rPr>
      </w:pPr>
      <w:r w:rsidRPr="000E5DD6">
        <w:rPr>
          <w:rFonts w:ascii="Arial" w:hAnsi="Arial" w:cs="Arial"/>
          <w:sz w:val="24"/>
          <w:szCs w:val="24"/>
        </w:rPr>
        <w:t>CASE STUDY</w:t>
      </w:r>
    </w:p>
    <w:p w14:paraId="60C6D01C" w14:textId="77777777" w:rsidR="000E5DD6" w:rsidRPr="000E5DD6" w:rsidRDefault="000E5DD6" w:rsidP="000E5DD6">
      <w:pPr>
        <w:spacing w:line="360" w:lineRule="auto"/>
        <w:rPr>
          <w:rFonts w:ascii="Arial" w:hAnsi="Arial" w:cs="Arial"/>
          <w:sz w:val="24"/>
          <w:szCs w:val="24"/>
        </w:rPr>
      </w:pPr>
    </w:p>
    <w:p w14:paraId="6CA6A64E" w14:textId="77777777" w:rsidR="000E5DD6" w:rsidRPr="000E5DD6" w:rsidRDefault="000E5DD6" w:rsidP="000E5DD6">
      <w:pPr>
        <w:pStyle w:val="ListParagraph"/>
        <w:numPr>
          <w:ilvl w:val="0"/>
          <w:numId w:val="7"/>
        </w:numPr>
        <w:spacing w:line="360" w:lineRule="auto"/>
        <w:rPr>
          <w:rFonts w:ascii="Arial" w:hAnsi="Arial" w:cs="Arial"/>
          <w:sz w:val="24"/>
          <w:szCs w:val="24"/>
        </w:rPr>
      </w:pPr>
      <w:r w:rsidRPr="000E5DD6">
        <w:rPr>
          <w:rFonts w:ascii="Arial" w:hAnsi="Arial" w:cs="Arial"/>
          <w:sz w:val="24"/>
          <w:szCs w:val="24"/>
        </w:rPr>
        <w:t>The PRO role in banking has had to change over recent years to accommodate the changes in banking itself. Where in the past the PR teams would be focused on presenting an image revolving around the banks position in the local community, they are now focusing on differentiating the bank from their competitors and giving consumers a clear answer to why they should choose this bank over the multitude of banks accessible to the public. The PRO role in banking now is to provide confidence to the consumer, highlight the differences between their bank and others and to clearly portray the banks vision to their public. There are many methods in which the PRO can achieve this. Media relations is most commonly used in this area, however using a wide range of tactics such as well-placed articles, op-eds and speaking engagements in conjunction with the more commonly used aspects of media relations can have a more profound effect on the public.</w:t>
      </w:r>
    </w:p>
    <w:p w14:paraId="7043D9F8" w14:textId="77777777" w:rsidR="000E5DD6" w:rsidRPr="000E5DD6" w:rsidRDefault="000E5DD6" w:rsidP="000E5DD6">
      <w:pPr>
        <w:pStyle w:val="ListParagraph"/>
        <w:spacing w:line="360" w:lineRule="auto"/>
        <w:rPr>
          <w:rFonts w:ascii="Arial" w:hAnsi="Arial" w:cs="Arial"/>
          <w:sz w:val="24"/>
          <w:szCs w:val="24"/>
        </w:rPr>
      </w:pPr>
      <w:r w:rsidRPr="000E5DD6">
        <w:rPr>
          <w:rFonts w:ascii="Arial" w:hAnsi="Arial" w:cs="Arial"/>
          <w:sz w:val="24"/>
          <w:szCs w:val="24"/>
        </w:rPr>
        <w:t>While promoting the bank and separating them from their competitors is a high priority, the PR departments within banking also have to handle a certain amount of negative publicity. Responding in a timely manner with a clear concise message can save the bank from losing clients and further damaging their reputation.</w:t>
      </w:r>
    </w:p>
    <w:p w14:paraId="08588DCB" w14:textId="4E88C6EA" w:rsidR="000E5DD6" w:rsidRPr="000E5DD6" w:rsidRDefault="000E5DD6" w:rsidP="000E5DD6">
      <w:pPr>
        <w:pStyle w:val="ListParagraph"/>
        <w:spacing w:line="360" w:lineRule="auto"/>
        <w:rPr>
          <w:rFonts w:ascii="Arial" w:hAnsi="Arial" w:cs="Arial"/>
          <w:sz w:val="24"/>
          <w:szCs w:val="24"/>
        </w:rPr>
      </w:pPr>
      <w:r w:rsidRPr="000E5DD6">
        <w:rPr>
          <w:rFonts w:ascii="Arial" w:hAnsi="Arial" w:cs="Arial"/>
          <w:sz w:val="24"/>
          <w:szCs w:val="24"/>
        </w:rPr>
        <w:t>In conclusion, the PRO role within banking is to highlight the reasons why the public should choose a specific bank over their competitors, to provide their public with confidence in their choice of bank, to help produce and distribute the message the bank wishes to send to it public whilst reducing and negative publicity that may arise.</w:t>
      </w:r>
    </w:p>
    <w:p w14:paraId="48444F88" w14:textId="77777777" w:rsidR="000E5DD6" w:rsidRPr="000E5DD6" w:rsidRDefault="000E5DD6" w:rsidP="000E5DD6">
      <w:pPr>
        <w:spacing w:line="360" w:lineRule="auto"/>
        <w:rPr>
          <w:rFonts w:ascii="Arial" w:hAnsi="Arial" w:cs="Arial"/>
          <w:sz w:val="24"/>
          <w:szCs w:val="24"/>
        </w:rPr>
      </w:pPr>
      <w:r w:rsidRPr="000E5DD6">
        <w:rPr>
          <w:rFonts w:ascii="Arial" w:hAnsi="Arial" w:cs="Arial"/>
          <w:sz w:val="24"/>
          <w:szCs w:val="24"/>
        </w:rPr>
        <w:t xml:space="preserve"> </w:t>
      </w:r>
    </w:p>
    <w:p w14:paraId="0D126AB1" w14:textId="77777777" w:rsidR="000E5DD6" w:rsidRPr="000E5DD6" w:rsidRDefault="000E5DD6" w:rsidP="000E5DD6">
      <w:pPr>
        <w:pStyle w:val="ListParagraph"/>
        <w:numPr>
          <w:ilvl w:val="0"/>
          <w:numId w:val="7"/>
        </w:numPr>
        <w:spacing w:line="360" w:lineRule="auto"/>
        <w:rPr>
          <w:rFonts w:ascii="Arial" w:hAnsi="Arial" w:cs="Arial"/>
          <w:sz w:val="24"/>
          <w:szCs w:val="24"/>
        </w:rPr>
      </w:pPr>
      <w:r w:rsidRPr="000E5DD6">
        <w:rPr>
          <w:rFonts w:ascii="Arial" w:hAnsi="Arial" w:cs="Arial"/>
          <w:sz w:val="24"/>
          <w:szCs w:val="24"/>
        </w:rPr>
        <w:t xml:space="preserve">A PR department in a large corporation will be involved in building, or continuing to support, the brands image and reducing negative publicity whilst at all points spreading the message the corporation wants to convey. This is </w:t>
      </w:r>
      <w:r w:rsidRPr="000E5DD6">
        <w:rPr>
          <w:rFonts w:ascii="Arial" w:hAnsi="Arial" w:cs="Arial"/>
          <w:sz w:val="24"/>
          <w:szCs w:val="24"/>
        </w:rPr>
        <w:lastRenderedPageBreak/>
        <w:t>achieved by analy</w:t>
      </w:r>
      <w:r w:rsidRPr="000E5DD6">
        <w:rPr>
          <w:rFonts w:ascii="Arial" w:hAnsi="Arial" w:cs="Arial"/>
          <w:sz w:val="24"/>
          <w:szCs w:val="24"/>
        </w:rPr>
        <w:t>s</w:t>
      </w:r>
      <w:r w:rsidRPr="000E5DD6">
        <w:rPr>
          <w:rFonts w:ascii="Arial" w:hAnsi="Arial" w:cs="Arial"/>
          <w:sz w:val="24"/>
          <w:szCs w:val="24"/>
        </w:rPr>
        <w:t xml:space="preserve">ing the corporation to find positive messages and turn those messages into positive news stories. </w:t>
      </w:r>
    </w:p>
    <w:p w14:paraId="7AD81238" w14:textId="77777777" w:rsidR="000E5DD6" w:rsidRPr="000E5DD6" w:rsidRDefault="000E5DD6" w:rsidP="000E5DD6">
      <w:pPr>
        <w:pStyle w:val="ListParagraph"/>
        <w:spacing w:line="360" w:lineRule="auto"/>
        <w:rPr>
          <w:rFonts w:ascii="Arial" w:hAnsi="Arial" w:cs="Arial"/>
          <w:sz w:val="24"/>
          <w:szCs w:val="24"/>
        </w:rPr>
      </w:pPr>
      <w:r w:rsidRPr="000E5DD6">
        <w:rPr>
          <w:rFonts w:ascii="Arial" w:hAnsi="Arial" w:cs="Arial"/>
          <w:sz w:val="24"/>
          <w:szCs w:val="24"/>
        </w:rPr>
        <w:t xml:space="preserve">In addition to finding and promoting the positive aspects of the organization, the PR department will also help management prepare for public speaking engagements. This will often be handled by a dedicated team of speech writers. Whilst this is similar to promoting the positive messages from within, it can go a lot further towards swaying the opinion of the corporation’s public. A well-informed figurehead with a clear concise message is important if the corporation is to maintain their image in the public eye. </w:t>
      </w:r>
    </w:p>
    <w:p w14:paraId="55335F29" w14:textId="77777777" w:rsidR="000E5DD6" w:rsidRPr="000E5DD6" w:rsidRDefault="000E5DD6" w:rsidP="000E5DD6">
      <w:pPr>
        <w:pStyle w:val="ListParagraph"/>
        <w:spacing w:line="360" w:lineRule="auto"/>
        <w:rPr>
          <w:rFonts w:ascii="Arial" w:hAnsi="Arial" w:cs="Arial"/>
          <w:sz w:val="24"/>
          <w:szCs w:val="24"/>
        </w:rPr>
      </w:pPr>
      <w:r w:rsidRPr="000E5DD6">
        <w:rPr>
          <w:rFonts w:ascii="Arial" w:hAnsi="Arial" w:cs="Arial"/>
          <w:sz w:val="24"/>
          <w:szCs w:val="24"/>
        </w:rPr>
        <w:t>Similarly, messages and memos produced by the PR team and circulated internally to employees can have a great effect on the corporations’ public image. Employees who truly believe in the corporations’ ethos and the message they send can often do just as much to increase public appeal as a well-placed news story. This is often the role of those who specialize in corporate communications.</w:t>
      </w:r>
    </w:p>
    <w:p w14:paraId="512A5CF7" w14:textId="77777777" w:rsidR="000E5DD6" w:rsidRPr="000E5DD6" w:rsidRDefault="000E5DD6" w:rsidP="000E5DD6">
      <w:pPr>
        <w:pStyle w:val="ListParagraph"/>
        <w:spacing w:line="360" w:lineRule="auto"/>
        <w:rPr>
          <w:rFonts w:ascii="Arial" w:hAnsi="Arial" w:cs="Arial"/>
          <w:sz w:val="24"/>
          <w:szCs w:val="24"/>
        </w:rPr>
      </w:pPr>
      <w:r w:rsidRPr="000E5DD6">
        <w:rPr>
          <w:rFonts w:ascii="Arial" w:hAnsi="Arial" w:cs="Arial"/>
          <w:sz w:val="24"/>
          <w:szCs w:val="24"/>
        </w:rPr>
        <w:t>While all efforts are made to maintain a positive brand image, negative publicity can come from anywhere. Handling such events is the responsibility of those who specialize in crisis communications. These individuals are vital to restore the corporations’ credibility. Through analysis of the corporations’ public the PR department can see exactly where the damage to the corporations’ reputation has occurred and suggest best way to restore it.</w:t>
      </w:r>
    </w:p>
    <w:p w14:paraId="0519A4E6" w14:textId="7FD70413" w:rsidR="000E5DD6" w:rsidRDefault="000E5DD6" w:rsidP="000E5DD6">
      <w:pPr>
        <w:pStyle w:val="ListParagraph"/>
        <w:spacing w:line="360" w:lineRule="auto"/>
        <w:rPr>
          <w:rFonts w:ascii="Arial" w:hAnsi="Arial" w:cs="Arial"/>
          <w:sz w:val="24"/>
          <w:szCs w:val="24"/>
        </w:rPr>
      </w:pPr>
      <w:r w:rsidRPr="000E5DD6">
        <w:rPr>
          <w:rFonts w:ascii="Arial" w:hAnsi="Arial" w:cs="Arial"/>
          <w:sz w:val="24"/>
          <w:szCs w:val="24"/>
        </w:rPr>
        <w:t>In short, the role of the PR department of a large corporation is to build the brands image, to develop and circulate the message the corporation wishes to pass along to it public and to reduce negative publicity.</w:t>
      </w:r>
    </w:p>
    <w:p w14:paraId="76C45006" w14:textId="643EF196" w:rsidR="000E5DD6" w:rsidRDefault="000E5DD6" w:rsidP="000E5DD6">
      <w:pPr>
        <w:pStyle w:val="ListParagraph"/>
        <w:spacing w:line="360" w:lineRule="auto"/>
        <w:rPr>
          <w:rFonts w:ascii="Arial" w:hAnsi="Arial" w:cs="Arial"/>
          <w:sz w:val="24"/>
          <w:szCs w:val="24"/>
        </w:rPr>
      </w:pPr>
    </w:p>
    <w:p w14:paraId="5DC6E7A0" w14:textId="32B0C0B0" w:rsidR="000E5DD6" w:rsidRDefault="000E5DD6" w:rsidP="000E5DD6">
      <w:pPr>
        <w:pStyle w:val="ListParagraph"/>
        <w:spacing w:line="360" w:lineRule="auto"/>
        <w:rPr>
          <w:rFonts w:ascii="Arial" w:hAnsi="Arial" w:cs="Arial"/>
          <w:sz w:val="24"/>
          <w:szCs w:val="24"/>
        </w:rPr>
      </w:pPr>
    </w:p>
    <w:p w14:paraId="795F8048"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b/>
          <w:bCs/>
          <w:color w:val="002060"/>
          <w:sz w:val="28"/>
          <w:szCs w:val="28"/>
          <w:lang w:val="en" w:eastAsia="en-GB"/>
        </w:rPr>
      </w:pPr>
    </w:p>
    <w:p w14:paraId="5FC93F0B"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b/>
          <w:bCs/>
          <w:color w:val="002060"/>
          <w:sz w:val="28"/>
          <w:szCs w:val="28"/>
          <w:lang w:val="en" w:eastAsia="en-GB"/>
        </w:rPr>
      </w:pPr>
      <w:r w:rsidRPr="000E5DD6">
        <w:rPr>
          <w:rFonts w:ascii="Calibri" w:eastAsiaTheme="minorEastAsia" w:hAnsi="Calibri" w:cs="Calibri"/>
          <w:b/>
          <w:bCs/>
          <w:color w:val="002060"/>
          <w:sz w:val="28"/>
          <w:szCs w:val="28"/>
          <w:lang w:val="en" w:eastAsia="en-GB"/>
        </w:rPr>
        <w:t>Student Statement:</w:t>
      </w:r>
    </w:p>
    <w:p w14:paraId="4684709F"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b/>
          <w:bCs/>
          <w:color w:val="001AE6"/>
          <w:lang w:val="en" w:eastAsia="en-GB"/>
        </w:rPr>
      </w:pPr>
    </w:p>
    <w:p w14:paraId="61E1659E"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color w:val="000000"/>
          <w:lang w:val="en" w:eastAsia="en-GB"/>
        </w:rPr>
      </w:pPr>
      <w:r w:rsidRPr="000E5DD6">
        <w:rPr>
          <w:rFonts w:ascii="Calibri" w:eastAsiaTheme="minorEastAsia" w:hAnsi="Calibri" w:cs="Calibri"/>
          <w:color w:val="000000"/>
          <w:lang w:val="en" w:eastAsia="en-GB"/>
        </w:rPr>
        <w:t>By submitting this assignment, I confirm that this is my own work.</w:t>
      </w:r>
    </w:p>
    <w:p w14:paraId="1F0440C8"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color w:val="000000"/>
          <w:lang w:val="en" w:eastAsia="en-GB"/>
        </w:rPr>
      </w:pPr>
    </w:p>
    <w:p w14:paraId="0135FF18"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color w:val="000000"/>
          <w:lang w:val="en" w:eastAsia="en-GB"/>
        </w:rPr>
      </w:pPr>
    </w:p>
    <w:p w14:paraId="0F87E54F"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color w:val="000000"/>
          <w:lang w:val="en" w:eastAsia="en-GB"/>
        </w:rPr>
      </w:pPr>
    </w:p>
    <w:tbl>
      <w:tblPr>
        <w:tblW w:w="0" w:type="auto"/>
        <w:tblInd w:w="108" w:type="dxa"/>
        <w:tblLayout w:type="fixed"/>
        <w:tblLook w:val="0000" w:firstRow="0" w:lastRow="0" w:firstColumn="0" w:lastColumn="0" w:noHBand="0" w:noVBand="0"/>
      </w:tblPr>
      <w:tblGrid>
        <w:gridCol w:w="2310"/>
        <w:gridCol w:w="4035"/>
        <w:gridCol w:w="1276"/>
        <w:gridCol w:w="1621"/>
      </w:tblGrid>
      <w:tr w:rsidR="000E5DD6" w:rsidRPr="000E5DD6" w14:paraId="62CD3479" w14:textId="77777777" w:rsidTr="00FA4813">
        <w:tblPrEx>
          <w:tblCellMar>
            <w:top w:w="0" w:type="dxa"/>
            <w:bottom w:w="0" w:type="dxa"/>
          </w:tblCellMar>
        </w:tblPrEx>
        <w:trPr>
          <w:trHeight w:val="1"/>
        </w:trPr>
        <w:tc>
          <w:tcPr>
            <w:tcW w:w="2310" w:type="dxa"/>
            <w:tcBorders>
              <w:top w:val="single" w:sz="3" w:space="0" w:color="000000"/>
              <w:left w:val="single" w:sz="3" w:space="0" w:color="000000"/>
              <w:bottom w:val="single" w:sz="3" w:space="0" w:color="000000"/>
              <w:right w:val="single" w:sz="3" w:space="0" w:color="000000"/>
            </w:tcBorders>
            <w:shd w:val="clear" w:color="auto" w:fill="D9D9D9"/>
          </w:tcPr>
          <w:p w14:paraId="6B74B3E8"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color w:val="000000"/>
                <w:lang w:val="en" w:eastAsia="en-GB"/>
              </w:rPr>
              <w:t>Student Signature</w:t>
            </w:r>
          </w:p>
        </w:tc>
        <w:tc>
          <w:tcPr>
            <w:tcW w:w="4035" w:type="dxa"/>
            <w:tcBorders>
              <w:top w:val="single" w:sz="3" w:space="0" w:color="000000"/>
              <w:left w:val="single" w:sz="3" w:space="0" w:color="000000"/>
              <w:bottom w:val="single" w:sz="3" w:space="0" w:color="000000"/>
              <w:right w:val="single" w:sz="3" w:space="0" w:color="000000"/>
            </w:tcBorders>
            <w:shd w:val="clear" w:color="000000" w:fill="FFFFFF"/>
          </w:tcPr>
          <w:p w14:paraId="7726B710" w14:textId="4B0794D0"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Pr>
                <w:rFonts w:ascii="Calibri" w:eastAsiaTheme="minorEastAsia" w:hAnsi="Calibri" w:cs="Calibri"/>
                <w:lang w:val="en" w:eastAsia="en-GB"/>
              </w:rPr>
              <w:t>Isabel Micallef</w:t>
            </w:r>
          </w:p>
        </w:tc>
        <w:tc>
          <w:tcPr>
            <w:tcW w:w="1276" w:type="dxa"/>
            <w:tcBorders>
              <w:top w:val="single" w:sz="3" w:space="0" w:color="000000"/>
              <w:left w:val="single" w:sz="3" w:space="0" w:color="000000"/>
              <w:bottom w:val="single" w:sz="3" w:space="0" w:color="000000"/>
              <w:right w:val="single" w:sz="3" w:space="0" w:color="000000"/>
            </w:tcBorders>
            <w:shd w:val="clear" w:color="auto" w:fill="D9D9D9"/>
          </w:tcPr>
          <w:p w14:paraId="2349D913"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color w:val="000000"/>
                <w:lang w:val="en" w:eastAsia="en-GB"/>
              </w:rPr>
              <w:t>Date</w:t>
            </w:r>
          </w:p>
        </w:tc>
        <w:tc>
          <w:tcPr>
            <w:tcW w:w="1621" w:type="dxa"/>
            <w:tcBorders>
              <w:top w:val="single" w:sz="3" w:space="0" w:color="000000"/>
              <w:left w:val="single" w:sz="3" w:space="0" w:color="000000"/>
              <w:bottom w:val="single" w:sz="3" w:space="0" w:color="000000"/>
              <w:right w:val="single" w:sz="3" w:space="0" w:color="000000"/>
            </w:tcBorders>
            <w:shd w:val="clear" w:color="000000" w:fill="FFFFFF"/>
          </w:tcPr>
          <w:p w14:paraId="631975E8" w14:textId="3430E0B3"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Pr>
                <w:rFonts w:ascii="Calibri" w:eastAsiaTheme="minorEastAsia" w:hAnsi="Calibri" w:cs="Calibri"/>
                <w:lang w:val="en" w:eastAsia="en-GB"/>
              </w:rPr>
              <w:t>24/07/2019</w:t>
            </w:r>
            <w:bookmarkStart w:id="0" w:name="_GoBack"/>
            <w:bookmarkEnd w:id="0"/>
          </w:p>
        </w:tc>
      </w:tr>
    </w:tbl>
    <w:p w14:paraId="7562F513"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color w:val="000000"/>
          <w:lang w:val="en" w:eastAsia="en-GB"/>
        </w:rPr>
      </w:pPr>
    </w:p>
    <w:p w14:paraId="7060C20D"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color w:val="000000"/>
          <w:lang w:val="en" w:eastAsia="en-GB"/>
        </w:rPr>
      </w:pPr>
    </w:p>
    <w:p w14:paraId="4B015925"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b/>
          <w:bCs/>
          <w:sz w:val="32"/>
          <w:szCs w:val="32"/>
          <w:highlight w:val="lightGray"/>
          <w:lang w:val="en" w:eastAsia="en-GB"/>
        </w:rPr>
      </w:pPr>
      <w:r w:rsidRPr="000E5DD6">
        <w:rPr>
          <w:rFonts w:ascii="Calibri" w:eastAsiaTheme="minorEastAsia" w:hAnsi="Calibri" w:cs="Calibri"/>
          <w:b/>
          <w:bCs/>
          <w:sz w:val="28"/>
          <w:szCs w:val="28"/>
          <w:highlight w:val="lightGray"/>
          <w:lang w:val="en" w:eastAsia="en-GB"/>
        </w:rPr>
        <w:t>For Tutor / Assessor Use Only</w:t>
      </w:r>
    </w:p>
    <w:tbl>
      <w:tblPr>
        <w:tblW w:w="0" w:type="auto"/>
        <w:tblInd w:w="108" w:type="dxa"/>
        <w:tblLayout w:type="fixed"/>
        <w:tblLook w:val="0000" w:firstRow="0" w:lastRow="0" w:firstColumn="0" w:lastColumn="0" w:noHBand="0" w:noVBand="0"/>
      </w:tblPr>
      <w:tblGrid>
        <w:gridCol w:w="4621"/>
        <w:gridCol w:w="4621"/>
      </w:tblGrid>
      <w:tr w:rsidR="000E5DD6" w:rsidRPr="000E5DD6" w14:paraId="55383897" w14:textId="77777777" w:rsidTr="00FA4813">
        <w:tblPrEx>
          <w:tblCellMar>
            <w:top w:w="0" w:type="dxa"/>
            <w:bottom w:w="0" w:type="dxa"/>
          </w:tblCellMar>
        </w:tblPrEx>
        <w:trPr>
          <w:trHeight w:val="249"/>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0DC5B3FD"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b/>
                <w:bCs/>
                <w:color w:val="002060"/>
                <w:lang w:val="en" w:eastAsia="en-GB"/>
              </w:rPr>
              <w:t>Total Marks</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7496B8B0"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p>
        </w:tc>
      </w:tr>
      <w:tr w:rsidR="000E5DD6" w:rsidRPr="000E5DD6" w14:paraId="63DEBF69" w14:textId="77777777" w:rsidTr="00FA4813">
        <w:tblPrEx>
          <w:tblCellMar>
            <w:top w:w="0" w:type="dxa"/>
            <w:bottom w:w="0" w:type="dxa"/>
          </w:tblCellMar>
        </w:tblPrEx>
        <w:trPr>
          <w:trHeight w:val="1"/>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68DFCE0C"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b/>
                <w:bCs/>
                <w:color w:val="002060"/>
                <w:lang w:val="en" w:eastAsia="en-GB"/>
              </w:rPr>
              <w:t>Marks Obtained</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6CF0905A"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p>
        </w:tc>
      </w:tr>
      <w:tr w:rsidR="000E5DD6" w:rsidRPr="000E5DD6" w14:paraId="1FCAF1A3" w14:textId="77777777" w:rsidTr="00FA4813">
        <w:tblPrEx>
          <w:tblCellMar>
            <w:top w:w="0" w:type="dxa"/>
            <w:bottom w:w="0" w:type="dxa"/>
          </w:tblCellMar>
        </w:tblPrEx>
        <w:trPr>
          <w:trHeight w:val="1"/>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7361FC94"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r w:rsidRPr="000E5DD6">
              <w:rPr>
                <w:rFonts w:ascii="Calibri" w:eastAsiaTheme="minorEastAsia" w:hAnsi="Calibri" w:cs="Calibri"/>
                <w:b/>
                <w:bCs/>
                <w:color w:val="002060"/>
                <w:lang w:val="en" w:eastAsia="en-GB"/>
              </w:rPr>
              <w:t>Percentage / Grade</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1123A704" w14:textId="77777777" w:rsidR="000E5DD6" w:rsidRPr="000E5DD6" w:rsidRDefault="000E5DD6" w:rsidP="000E5DD6">
            <w:pPr>
              <w:widowControl w:val="0"/>
              <w:autoSpaceDE w:val="0"/>
              <w:autoSpaceDN w:val="0"/>
              <w:adjustRightInd w:val="0"/>
              <w:spacing w:after="0" w:line="240" w:lineRule="auto"/>
              <w:rPr>
                <w:rFonts w:ascii="Calibri" w:eastAsiaTheme="minorEastAsia" w:hAnsi="Calibri" w:cs="Calibri"/>
                <w:lang w:val="en" w:eastAsia="en-GB"/>
              </w:rPr>
            </w:pPr>
          </w:p>
        </w:tc>
      </w:tr>
    </w:tbl>
    <w:p w14:paraId="47A4C1FF" w14:textId="77777777" w:rsidR="000E5DD6" w:rsidRPr="000E5DD6" w:rsidRDefault="000E5DD6" w:rsidP="000E5DD6">
      <w:pPr>
        <w:widowControl w:val="0"/>
        <w:autoSpaceDE w:val="0"/>
        <w:autoSpaceDN w:val="0"/>
        <w:adjustRightInd w:val="0"/>
        <w:spacing w:after="200" w:line="276" w:lineRule="auto"/>
        <w:rPr>
          <w:rFonts w:ascii="Calibri" w:eastAsiaTheme="minorEastAsia" w:hAnsi="Calibri" w:cs="Calibri"/>
          <w:sz w:val="24"/>
          <w:szCs w:val="24"/>
          <w:lang w:val="en" w:eastAsia="en-GB"/>
        </w:rPr>
      </w:pPr>
    </w:p>
    <w:p w14:paraId="41DCF86E" w14:textId="77777777" w:rsidR="000E5DD6" w:rsidRPr="000E5DD6" w:rsidRDefault="000E5DD6" w:rsidP="000E5DD6">
      <w:pPr>
        <w:pStyle w:val="ListParagraph"/>
        <w:spacing w:line="360" w:lineRule="auto"/>
        <w:rPr>
          <w:rFonts w:ascii="Arial" w:hAnsi="Arial" w:cs="Arial"/>
          <w:sz w:val="24"/>
          <w:szCs w:val="24"/>
        </w:rPr>
      </w:pPr>
    </w:p>
    <w:p w14:paraId="1CFDE54E" w14:textId="77777777" w:rsidR="00AD0C34" w:rsidRDefault="00AD0C34" w:rsidP="00AD0C34"/>
    <w:sectPr w:rsidR="00AD0C3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625EF" w14:textId="77777777" w:rsidR="00C11162" w:rsidRDefault="00C11162" w:rsidP="0064211D">
      <w:pPr>
        <w:spacing w:after="0" w:line="240" w:lineRule="auto"/>
      </w:pPr>
      <w:r>
        <w:separator/>
      </w:r>
    </w:p>
  </w:endnote>
  <w:endnote w:type="continuationSeparator" w:id="0">
    <w:p w14:paraId="7892F015" w14:textId="77777777" w:rsidR="00C11162" w:rsidRDefault="00C11162" w:rsidP="00642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FA91D5" w14:textId="77777777" w:rsidR="00C11162" w:rsidRDefault="00C11162" w:rsidP="0064211D">
      <w:pPr>
        <w:spacing w:after="0" w:line="240" w:lineRule="auto"/>
      </w:pPr>
      <w:r>
        <w:separator/>
      </w:r>
    </w:p>
  </w:footnote>
  <w:footnote w:type="continuationSeparator" w:id="0">
    <w:p w14:paraId="3F492395" w14:textId="77777777" w:rsidR="00C11162" w:rsidRDefault="00C11162" w:rsidP="00642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8B5DA" w14:textId="654A8211" w:rsidR="0064211D" w:rsidRPr="0064211D" w:rsidRDefault="0064211D">
    <w:pPr>
      <w:pStyle w:val="Header"/>
      <w:jc w:val="right"/>
      <w:rPr>
        <w:rFonts w:ascii="Arial" w:hAnsi="Arial" w:cs="Arial"/>
        <w:color w:val="8496B0" w:themeColor="text2" w:themeTint="99"/>
        <w:sz w:val="20"/>
        <w:szCs w:val="20"/>
      </w:rPr>
    </w:pPr>
    <w:r w:rsidRPr="0064211D">
      <w:rPr>
        <w:rFonts w:ascii="Arial" w:hAnsi="Arial" w:cs="Arial"/>
        <w:color w:val="8496B0" w:themeColor="text2" w:themeTint="99"/>
        <w:sz w:val="20"/>
        <w:szCs w:val="20"/>
      </w:rPr>
      <w:t>Isabel Micallef</w:t>
    </w:r>
  </w:p>
  <w:p w14:paraId="163A13DF" w14:textId="77777777" w:rsidR="0064211D" w:rsidRPr="0064211D" w:rsidRDefault="0064211D">
    <w:pPr>
      <w:pStyle w:val="Header"/>
      <w:jc w:val="right"/>
      <w:rPr>
        <w:rFonts w:ascii="Arial" w:hAnsi="Arial" w:cs="Arial"/>
        <w:color w:val="8496B0" w:themeColor="text2" w:themeTint="99"/>
        <w:sz w:val="20"/>
        <w:szCs w:val="20"/>
      </w:rPr>
    </w:pPr>
    <w:r w:rsidRPr="0064211D">
      <w:rPr>
        <w:rFonts w:ascii="Arial" w:hAnsi="Arial" w:cs="Arial"/>
        <w:color w:val="8496B0" w:themeColor="text2" w:themeTint="99"/>
        <w:sz w:val="20"/>
        <w:szCs w:val="20"/>
      </w:rPr>
      <w:t>Student ID 34430</w:t>
    </w:r>
  </w:p>
  <w:p w14:paraId="2947F10D" w14:textId="77777777" w:rsidR="0064211D" w:rsidRPr="0064211D" w:rsidRDefault="0064211D">
    <w:pPr>
      <w:pStyle w:val="Header"/>
      <w:jc w:val="right"/>
      <w:rPr>
        <w:rFonts w:ascii="Arial" w:hAnsi="Arial" w:cs="Arial"/>
        <w:color w:val="8496B0" w:themeColor="text2" w:themeTint="99"/>
        <w:sz w:val="20"/>
        <w:szCs w:val="20"/>
      </w:rPr>
    </w:pPr>
    <w:r w:rsidRPr="0064211D">
      <w:rPr>
        <w:rFonts w:ascii="Arial" w:hAnsi="Arial" w:cs="Arial"/>
        <w:color w:val="8496B0" w:themeColor="text2" w:themeTint="99"/>
        <w:sz w:val="20"/>
        <w:szCs w:val="20"/>
      </w:rPr>
      <w:t>Assignment #1</w:t>
    </w:r>
  </w:p>
  <w:p w14:paraId="58EB6471" w14:textId="3587795F" w:rsidR="0064211D" w:rsidRPr="0064211D" w:rsidRDefault="0064211D">
    <w:pPr>
      <w:pStyle w:val="Header"/>
      <w:jc w:val="right"/>
      <w:rPr>
        <w:rFonts w:ascii="Arial" w:hAnsi="Arial" w:cs="Arial"/>
        <w:color w:val="8496B0" w:themeColor="text2" w:themeTint="99"/>
        <w:sz w:val="20"/>
        <w:szCs w:val="20"/>
      </w:rPr>
    </w:pPr>
    <w:r w:rsidRPr="0064211D">
      <w:rPr>
        <w:rFonts w:ascii="Arial" w:hAnsi="Arial" w:cs="Arial"/>
        <w:color w:val="8496B0" w:themeColor="text2" w:themeTint="99"/>
        <w:sz w:val="20"/>
        <w:szCs w:val="20"/>
      </w:rPr>
      <w:t xml:space="preserve">Page </w:t>
    </w:r>
    <w:r w:rsidRPr="0064211D">
      <w:rPr>
        <w:rFonts w:ascii="Arial" w:hAnsi="Arial" w:cs="Arial"/>
        <w:color w:val="8496B0" w:themeColor="text2" w:themeTint="99"/>
        <w:sz w:val="20"/>
        <w:szCs w:val="20"/>
      </w:rPr>
      <w:fldChar w:fldCharType="begin"/>
    </w:r>
    <w:r w:rsidRPr="0064211D">
      <w:rPr>
        <w:rFonts w:ascii="Arial" w:hAnsi="Arial" w:cs="Arial"/>
        <w:color w:val="8496B0" w:themeColor="text2" w:themeTint="99"/>
        <w:sz w:val="20"/>
        <w:szCs w:val="20"/>
      </w:rPr>
      <w:instrText xml:space="preserve"> PAGE   \* MERGEFORMAT </w:instrText>
    </w:r>
    <w:r w:rsidRPr="0064211D">
      <w:rPr>
        <w:rFonts w:ascii="Arial" w:hAnsi="Arial" w:cs="Arial"/>
        <w:color w:val="8496B0" w:themeColor="text2" w:themeTint="99"/>
        <w:sz w:val="20"/>
        <w:szCs w:val="20"/>
      </w:rPr>
      <w:fldChar w:fldCharType="separate"/>
    </w:r>
    <w:r w:rsidRPr="0064211D">
      <w:rPr>
        <w:rFonts w:ascii="Arial" w:hAnsi="Arial" w:cs="Arial"/>
        <w:noProof/>
        <w:color w:val="8496B0" w:themeColor="text2" w:themeTint="99"/>
        <w:sz w:val="20"/>
        <w:szCs w:val="20"/>
      </w:rPr>
      <w:t>2</w:t>
    </w:r>
    <w:r w:rsidRPr="0064211D">
      <w:rPr>
        <w:rFonts w:ascii="Arial" w:hAnsi="Arial" w:cs="Arial"/>
        <w:color w:val="8496B0" w:themeColor="text2" w:themeTint="99"/>
        <w:sz w:val="20"/>
        <w:szCs w:val="20"/>
      </w:rPr>
      <w:fldChar w:fldCharType="end"/>
    </w:r>
  </w:p>
  <w:p w14:paraId="0B3849A9" w14:textId="77777777" w:rsidR="0064211D" w:rsidRDefault="00642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0681C"/>
    <w:multiLevelType w:val="hybridMultilevel"/>
    <w:tmpl w:val="86AC1B08"/>
    <w:lvl w:ilvl="0" w:tplc="7876D4A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202F76"/>
    <w:multiLevelType w:val="hybridMultilevel"/>
    <w:tmpl w:val="A940A1E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E3078C"/>
    <w:multiLevelType w:val="hybridMultilevel"/>
    <w:tmpl w:val="1B86328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5B1186"/>
    <w:multiLevelType w:val="hybridMultilevel"/>
    <w:tmpl w:val="DF6021D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3C061C"/>
    <w:multiLevelType w:val="hybridMultilevel"/>
    <w:tmpl w:val="8A9A96F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1C30C2"/>
    <w:multiLevelType w:val="hybridMultilevel"/>
    <w:tmpl w:val="DE1A3A8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A84180E"/>
    <w:multiLevelType w:val="hybridMultilevel"/>
    <w:tmpl w:val="24D0CD0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5"/>
  </w:num>
  <w:num w:numId="3">
    <w:abstractNumId w:val="6"/>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C34"/>
    <w:rsid w:val="000C47CF"/>
    <w:rsid w:val="000E5DD6"/>
    <w:rsid w:val="001E4A46"/>
    <w:rsid w:val="002B596C"/>
    <w:rsid w:val="00515730"/>
    <w:rsid w:val="00521220"/>
    <w:rsid w:val="0064211D"/>
    <w:rsid w:val="00666EAF"/>
    <w:rsid w:val="008030EA"/>
    <w:rsid w:val="00A50F9A"/>
    <w:rsid w:val="00AD0C34"/>
    <w:rsid w:val="00B14C23"/>
    <w:rsid w:val="00B47C7C"/>
    <w:rsid w:val="00B91CC9"/>
    <w:rsid w:val="00C11162"/>
    <w:rsid w:val="00CB107B"/>
    <w:rsid w:val="00D2044A"/>
    <w:rsid w:val="00D5472C"/>
    <w:rsid w:val="00F96207"/>
    <w:rsid w:val="00FA60BB"/>
    <w:rsid w:val="00FD1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F8AD8"/>
  <w15:chartTrackingRefBased/>
  <w15:docId w15:val="{4004C132-476D-4841-90AF-1BDBB4432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A46"/>
    <w:pPr>
      <w:ind w:left="720"/>
      <w:contextualSpacing/>
    </w:pPr>
  </w:style>
  <w:style w:type="paragraph" w:styleId="Header">
    <w:name w:val="header"/>
    <w:basedOn w:val="Normal"/>
    <w:link w:val="HeaderChar"/>
    <w:uiPriority w:val="99"/>
    <w:unhideWhenUsed/>
    <w:rsid w:val="00642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211D"/>
  </w:style>
  <w:style w:type="paragraph" w:styleId="Footer">
    <w:name w:val="footer"/>
    <w:basedOn w:val="Normal"/>
    <w:link w:val="FooterChar"/>
    <w:uiPriority w:val="99"/>
    <w:unhideWhenUsed/>
    <w:rsid w:val="00642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1394</Words>
  <Characters>7950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Blink Account</dc:creator>
  <cp:keywords/>
  <dc:description/>
  <cp:lastModifiedBy>Blink Account</cp:lastModifiedBy>
  <cp:revision>2</cp:revision>
  <dcterms:created xsi:type="dcterms:W3CDTF">2019-07-24T15:33:00Z</dcterms:created>
  <dcterms:modified xsi:type="dcterms:W3CDTF">2019-07-24T15:33:00Z</dcterms:modified>
</cp:coreProperties>
</file>