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4248" w:dyaOrig="2145">
          <v:rect xmlns:o="urn:schemas-microsoft-com:office:office" xmlns:v="urn:schemas-microsoft-com:vml" id="rectole0000000000" style="width:212.400000pt;height:107.2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p>
    <w:p>
      <w:pPr>
        <w:spacing w:before="0" w:after="200" w:line="276"/>
        <w:ind w:right="0" w:left="0" w:firstLine="0"/>
        <w:jc w:val="center"/>
        <w:rPr>
          <w:rFonts w:ascii="Calibri" w:hAnsi="Calibri" w:cs="Calibri" w:eastAsia="Calibri"/>
          <w:b/>
          <w:color w:val="002060"/>
          <w:spacing w:val="0"/>
          <w:position w:val="0"/>
          <w:sz w:val="44"/>
          <w:shd w:fill="auto" w:val="clear"/>
        </w:rPr>
      </w:pPr>
      <w:r>
        <w:rPr>
          <w:rFonts w:ascii="Calibri" w:hAnsi="Calibri" w:cs="Calibri" w:eastAsia="Calibri"/>
          <w:b/>
          <w:color w:val="002060"/>
          <w:spacing w:val="0"/>
          <w:position w:val="0"/>
          <w:sz w:val="44"/>
          <w:shd w:fill="auto" w:val="clear"/>
        </w:rPr>
        <w:t xml:space="preserve">Assignment Cover Sheet</w:t>
      </w: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tbl>
      <w:tblPr>
        <w:tblInd w:w="108" w:type="dxa"/>
      </w:tblPr>
      <w:tblGrid>
        <w:gridCol w:w="2566"/>
        <w:gridCol w:w="6676"/>
      </w:tblGrid>
      <w:tr>
        <w:trPr>
          <w:trHeight w:val="290" w:hRule="auto"/>
          <w:jc w:val="left"/>
        </w:trPr>
        <w:tc>
          <w:tcPr>
            <w:tcW w:w="2566" w:type="dxa"/>
            <w:tcBorders>
              <w:top w:val="single" w:color="000000" w:sz="4"/>
              <w:left w:val="single" w:color="000000" w:sz="4"/>
              <w:bottom w:val="single" w:color="000000" w:sz="4"/>
              <w:right w:val="single" w:color="000000" w:sz="4"/>
            </w:tcBorders>
            <w:shd w:color="auto" w:fill="d9d9d9" w:val="clear"/>
            <w:tcMar>
              <w:left w:w="80" w:type="dxa"/>
              <w:right w:w="80" w:type="dxa"/>
            </w:tcMar>
            <w:vAlign w:val="top"/>
          </w:tcPr>
          <w:p>
            <w:pPr>
              <w:spacing w:before="0" w:after="200" w:line="276"/>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auto" w:fill="auto" w:val="clear"/>
            <w:tcMar>
              <w:left w:w="80" w:type="dxa"/>
              <w:right w:w="8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OLUWASEUN JEBODA</w:t>
            </w:r>
          </w:p>
        </w:tc>
      </w:tr>
      <w:tr>
        <w:trPr>
          <w:trHeight w:val="290" w:hRule="auto"/>
          <w:jc w:val="left"/>
        </w:trPr>
        <w:tc>
          <w:tcPr>
            <w:tcW w:w="2566" w:type="dxa"/>
            <w:tcBorders>
              <w:top w:val="single" w:color="000000" w:sz="4"/>
              <w:left w:val="single" w:color="000000" w:sz="4"/>
              <w:bottom w:val="single" w:color="000000" w:sz="4"/>
              <w:right w:val="single" w:color="000000" w:sz="4"/>
            </w:tcBorders>
            <w:shd w:color="auto" w:fill="d9d9d9" w:val="clear"/>
            <w:tcMar>
              <w:left w:w="80" w:type="dxa"/>
              <w:right w:w="80"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auto" w:fill="auto" w:val="clear"/>
            <w:tcMar>
              <w:left w:w="80" w:type="dxa"/>
              <w:right w:w="8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20746</w:t>
            </w:r>
          </w:p>
        </w:tc>
      </w:tr>
      <w:tr>
        <w:trPr>
          <w:trHeight w:val="290" w:hRule="auto"/>
          <w:jc w:val="left"/>
        </w:trPr>
        <w:tc>
          <w:tcPr>
            <w:tcW w:w="2566" w:type="dxa"/>
            <w:tcBorders>
              <w:top w:val="single" w:color="000000" w:sz="4"/>
              <w:left w:val="single" w:color="000000" w:sz="4"/>
              <w:bottom w:val="single" w:color="000000" w:sz="4"/>
              <w:right w:val="single" w:color="000000" w:sz="4"/>
            </w:tcBorders>
            <w:shd w:color="auto" w:fill="d9d9d9" w:val="clear"/>
            <w:tcMar>
              <w:left w:w="80" w:type="dxa"/>
              <w:right w:w="80"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auto" w:fill="auto" w:val="clear"/>
            <w:tcMar>
              <w:left w:w="80" w:type="dxa"/>
              <w:right w:w="8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DIPLOMA IN FORENSIC ACCOUNTING</w:t>
            </w:r>
          </w:p>
        </w:tc>
      </w:tr>
      <w:tr>
        <w:trPr>
          <w:trHeight w:val="250" w:hRule="auto"/>
          <w:jc w:val="left"/>
        </w:trPr>
        <w:tc>
          <w:tcPr>
            <w:tcW w:w="2566" w:type="dxa"/>
            <w:tcBorders>
              <w:top w:val="single" w:color="000000" w:sz="4"/>
              <w:left w:val="single" w:color="000000" w:sz="4"/>
              <w:bottom w:val="single" w:color="000000" w:sz="4"/>
              <w:right w:val="single" w:color="000000" w:sz="4"/>
            </w:tcBorders>
            <w:shd w:color="auto" w:fill="d9d9d9" w:val="clear"/>
            <w:tcMar>
              <w:left w:w="80" w:type="dxa"/>
              <w:right w:w="80"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auto" w:fill="auto" w:val="clear"/>
            <w:tcMar>
              <w:left w:w="80" w:type="dxa"/>
              <w:right w:w="8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7</w:t>
            </w:r>
          </w:p>
        </w:tc>
      </w:tr>
    </w:tbl>
    <w:p>
      <w:pPr>
        <w:spacing w:before="0" w:after="200" w:line="240"/>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000000"/>
          <w:spacing w:val="0"/>
          <w:position w:val="0"/>
          <w:sz w:val="22"/>
          <w:shd w:fill="auto" w:val="clear"/>
        </w:rPr>
      </w:pPr>
    </w:p>
    <w:p>
      <w:pPr>
        <w:spacing w:before="0" w:after="200" w:line="276"/>
        <w:ind w:right="0" w:left="0" w:firstLine="0"/>
        <w:jc w:val="left"/>
        <w:rPr>
          <w:rFonts w:ascii="Calibri" w:hAnsi="Calibri" w:cs="Calibri" w:eastAsia="Calibri"/>
          <w:b/>
          <w:color w:val="000000"/>
          <w:spacing w:val="0"/>
          <w:position w:val="0"/>
          <w:sz w:val="28"/>
          <w:shd w:fill="auto" w:val="clear"/>
        </w:rPr>
      </w:pPr>
      <w:r>
        <w:rPr>
          <w:rFonts w:ascii="Calibri" w:hAnsi="Calibri" w:cs="Calibri" w:eastAsia="Calibri"/>
          <w:b/>
          <w:color w:val="000000"/>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For high grades use examples and illustrations where appropriate. </w:t>
      </w:r>
    </w:p>
    <w:p>
      <w:pPr>
        <w:spacing w:before="0" w:after="200" w:line="36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ASSESSMENT 7</w:t>
      </w:r>
    </w:p>
    <w:p>
      <w:pPr>
        <w:spacing w:before="0" w:after="200" w:line="36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1) Give short answers for  the following questions:</w:t>
      </w:r>
    </w:p>
    <w:p>
      <w:pPr>
        <w:spacing w:before="0" w:after="200" w:line="36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i. What are non-financial sources for evidence? This includes:</w:t>
      </w:r>
    </w:p>
    <w:p>
      <w:pPr>
        <w:numPr>
          <w:ilvl w:val="0"/>
          <w:numId w:val="21"/>
        </w:numPr>
        <w:spacing w:before="0" w:after="200" w:line="36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Interviews</w:t>
      </w:r>
    </w:p>
    <w:p>
      <w:pPr>
        <w:numPr>
          <w:ilvl w:val="0"/>
          <w:numId w:val="21"/>
        </w:numPr>
        <w:spacing w:before="0" w:after="200" w:line="36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Handwriting Analysis</w:t>
      </w:r>
    </w:p>
    <w:p>
      <w:pPr>
        <w:numPr>
          <w:ilvl w:val="0"/>
          <w:numId w:val="21"/>
        </w:numPr>
        <w:spacing w:before="0" w:after="200" w:line="36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Document Examination</w:t>
      </w:r>
    </w:p>
    <w:p>
      <w:pPr>
        <w:numPr>
          <w:ilvl w:val="0"/>
          <w:numId w:val="21"/>
        </w:numPr>
        <w:spacing w:before="0" w:after="200" w:line="36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Body Language</w:t>
      </w:r>
    </w:p>
    <w:p>
      <w:pPr>
        <w:numPr>
          <w:ilvl w:val="0"/>
          <w:numId w:val="21"/>
        </w:numPr>
        <w:spacing w:before="0" w:after="200" w:line="36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Polygraph</w:t>
      </w:r>
    </w:p>
    <w:p>
      <w:pPr>
        <w:numPr>
          <w:ilvl w:val="0"/>
          <w:numId w:val="21"/>
        </w:numPr>
        <w:spacing w:before="0" w:after="200" w:line="36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Statement Analysis</w:t>
      </w:r>
    </w:p>
    <w:p>
      <w:pPr>
        <w:numPr>
          <w:ilvl w:val="0"/>
          <w:numId w:val="21"/>
        </w:numPr>
        <w:spacing w:before="0" w:after="200" w:line="36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Eye Language</w:t>
      </w:r>
    </w:p>
    <w:p>
      <w:pPr>
        <w:numPr>
          <w:ilvl w:val="0"/>
          <w:numId w:val="21"/>
        </w:numPr>
        <w:spacing w:before="0" w:after="200" w:line="360"/>
        <w:ind w:right="0" w:left="720" w:hanging="360"/>
        <w:jc w:val="left"/>
        <w:rPr>
          <w:rFonts w:ascii="Calibri" w:hAnsi="Calibri" w:cs="Calibri" w:eastAsia="Calibri"/>
          <w:b/>
          <w:color w:val="auto"/>
          <w:spacing w:val="0"/>
          <w:position w:val="0"/>
          <w:sz w:val="22"/>
          <w:shd w:fill="auto" w:val="clear"/>
        </w:rPr>
      </w:pPr>
      <w:r>
        <w:rPr>
          <w:rFonts w:ascii="Calibri" w:hAnsi="Calibri" w:cs="Calibri" w:eastAsia="Calibri"/>
          <w:color w:val="auto"/>
          <w:spacing w:val="0"/>
          <w:position w:val="0"/>
          <w:sz w:val="22"/>
          <w:shd w:fill="auto" w:val="clear"/>
        </w:rPr>
        <w:t xml:space="preserve"> Physiological aspects of the fraudster</w:t>
      </w:r>
    </w:p>
    <w:p>
      <w:pPr>
        <w:spacing w:before="0" w:after="200" w:line="36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ii) What is the importance of body language in the interviewing procedure?</w:t>
      </w:r>
    </w:p>
    <w:p>
      <w:pPr>
        <w:numPr>
          <w:ilvl w:val="0"/>
          <w:numId w:val="23"/>
        </w:numPr>
        <w:spacing w:before="0" w:after="200" w:line="360"/>
        <w:ind w:right="0" w:left="720" w:hanging="360"/>
        <w:jc w:val="left"/>
        <w:rPr>
          <w:rFonts w:ascii="Calibri" w:hAnsi="Calibri" w:cs="Calibri" w:eastAsia="Calibri"/>
          <w:b/>
          <w:color w:val="auto"/>
          <w:spacing w:val="0"/>
          <w:position w:val="0"/>
          <w:sz w:val="22"/>
          <w:shd w:fill="auto" w:val="clear"/>
        </w:rPr>
      </w:pPr>
      <w:r>
        <w:rPr>
          <w:rFonts w:ascii="Calibri" w:hAnsi="Calibri" w:cs="Calibri" w:eastAsia="Calibri"/>
          <w:color w:val="auto"/>
          <w:spacing w:val="0"/>
          <w:position w:val="0"/>
          <w:sz w:val="22"/>
          <w:shd w:fill="auto" w:val="clear"/>
        </w:rPr>
        <w:t xml:space="preserve">It serves as indicators of suspect's emotions</w:t>
      </w:r>
    </w:p>
    <w:p>
      <w:pPr>
        <w:numPr>
          <w:ilvl w:val="0"/>
          <w:numId w:val="23"/>
        </w:numPr>
        <w:spacing w:before="0" w:after="200" w:line="360"/>
        <w:ind w:right="0" w:left="720" w:hanging="360"/>
        <w:jc w:val="left"/>
        <w:rPr>
          <w:rFonts w:ascii="Calibri" w:hAnsi="Calibri" w:cs="Calibri" w:eastAsia="Calibri"/>
          <w:b/>
          <w:color w:val="auto"/>
          <w:spacing w:val="0"/>
          <w:position w:val="0"/>
          <w:sz w:val="22"/>
          <w:shd w:fill="auto" w:val="clear"/>
        </w:rPr>
      </w:pPr>
      <w:r>
        <w:rPr>
          <w:rFonts w:ascii="Calibri" w:hAnsi="Calibri" w:cs="Calibri" w:eastAsia="Calibri"/>
          <w:color w:val="auto"/>
          <w:spacing w:val="0"/>
          <w:position w:val="0"/>
          <w:sz w:val="22"/>
          <w:shd w:fill="auto" w:val="clear"/>
        </w:rPr>
        <w:t xml:space="preserve"> It also serves as a deception-detecting tool for auditors and forensic accounting investigators.</w:t>
      </w:r>
    </w:p>
    <w:p>
      <w:pPr>
        <w:spacing w:before="0" w:after="200" w:line="36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iii) How is the SCAN analysis used as an investigative technique?</w:t>
      </w:r>
    </w:p>
    <w:p>
      <w:pPr>
        <w:spacing w:before="0" w:after="200" w:line="36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analyst needs an unambiguous truthful statement from the suspect in order for SCAN to be effective. The focus is aimed at detecting deception rather than determining truthfulness.</w:t>
      </w:r>
    </w:p>
    <w:p>
      <w:pPr>
        <w:spacing w:before="0" w:after="200" w:line="36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iv) What are visual assessing cues?How do eyes of the victim help the interviewer?</w:t>
      </w:r>
    </w:p>
    <w:p>
      <w:pPr>
        <w:spacing w:before="0" w:after="200" w:line="36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Visual Accessing Cues(VAC) refers to the language of the eyes and the principles related to it. Eye movement  cues and interpretations are only applicable to the right-handed people. It is therefore important to know whether the interviewee is left-handed or right handed in order to avoid interpreting truthful responses as deceitful.</w:t>
      </w:r>
    </w:p>
    <w:p>
      <w:pPr>
        <w:spacing w:before="0" w:after="200" w:line="36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The following combinations maybe helpful in interpretation:</w:t>
      </w:r>
    </w:p>
    <w:p>
      <w:pPr>
        <w:numPr>
          <w:ilvl w:val="0"/>
          <w:numId w:val="25"/>
        </w:numPr>
        <w:spacing w:before="0" w:after="200" w:line="36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Eyes to the left and up.Recalling the past in visual images e.g what colour was your first car?</w:t>
      </w:r>
    </w:p>
    <w:p>
      <w:pPr>
        <w:numPr>
          <w:ilvl w:val="0"/>
          <w:numId w:val="25"/>
        </w:numPr>
        <w:spacing w:before="0" w:after="200" w:line="36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Eyes to the left and towards the ear.Retrieving memories in auditory form or recalling sounds. For example, which ringtone did you use for your first cell phone?</w:t>
      </w:r>
    </w:p>
    <w:p>
      <w:pPr>
        <w:numPr>
          <w:ilvl w:val="0"/>
          <w:numId w:val="25"/>
        </w:numPr>
        <w:spacing w:before="0" w:after="200" w:line="36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Eyes to the left and down. Generally associated with an internal dialogue as it is a movement made by people when they are talking to themselves.</w:t>
      </w:r>
    </w:p>
    <w:p>
      <w:pPr>
        <w:numPr>
          <w:ilvl w:val="0"/>
          <w:numId w:val="25"/>
        </w:numPr>
        <w:spacing w:before="0" w:after="200" w:line="36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Eyes to the right and up. Constructing images for the future, e.g '' What would your next house look like''?</w:t>
      </w:r>
    </w:p>
    <w:p>
      <w:pPr>
        <w:numPr>
          <w:ilvl w:val="0"/>
          <w:numId w:val="25"/>
        </w:numPr>
        <w:spacing w:before="0" w:after="200" w:line="36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Eyes to the right and down. Associated with kinaesthetic or feelings e,g ''Do you remember the smell of campfire''?</w:t>
      </w:r>
    </w:p>
    <w:p>
      <w:pPr>
        <w:numPr>
          <w:ilvl w:val="0"/>
          <w:numId w:val="25"/>
        </w:numPr>
        <w:spacing w:before="0" w:after="200" w:line="36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Eyes to the right towards the ear. Associated with creating sounds e.g ''Can you create your own song and sing it''?</w:t>
      </w:r>
    </w:p>
    <w:p>
      <w:pPr>
        <w:spacing w:before="0" w:after="200" w:line="36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v) In addition to body language, there are other cues which help to identify lies. What are these?</w:t>
      </w:r>
    </w:p>
    <w:p>
      <w:pPr>
        <w:numPr>
          <w:ilvl w:val="0"/>
          <w:numId w:val="27"/>
        </w:numPr>
        <w:spacing w:before="0" w:after="200" w:line="360"/>
        <w:ind w:right="0" w:left="720" w:hanging="360"/>
        <w:jc w:val="left"/>
        <w:rPr>
          <w:rFonts w:ascii="Calibri" w:hAnsi="Calibri" w:cs="Calibri" w:eastAsia="Calibri"/>
          <w:b/>
          <w:color w:val="auto"/>
          <w:spacing w:val="0"/>
          <w:position w:val="0"/>
          <w:sz w:val="22"/>
          <w:shd w:fill="auto" w:val="clear"/>
        </w:rPr>
      </w:pPr>
      <w:r>
        <w:rPr>
          <w:rFonts w:ascii="Calibri" w:hAnsi="Calibri" w:cs="Calibri" w:eastAsia="Calibri"/>
          <w:color w:val="auto"/>
          <w:spacing w:val="0"/>
          <w:position w:val="0"/>
          <w:sz w:val="22"/>
          <w:shd w:fill="auto" w:val="clear"/>
        </w:rPr>
        <w:t xml:space="preserve">Statement Analysis</w:t>
      </w:r>
    </w:p>
    <w:p>
      <w:pPr>
        <w:numPr>
          <w:ilvl w:val="0"/>
          <w:numId w:val="27"/>
        </w:numPr>
        <w:spacing w:before="0" w:after="200" w:line="360"/>
        <w:ind w:right="0" w:left="720" w:hanging="360"/>
        <w:jc w:val="left"/>
        <w:rPr>
          <w:rFonts w:ascii="Calibri" w:hAnsi="Calibri" w:cs="Calibri" w:eastAsia="Calibri"/>
          <w:b/>
          <w:color w:val="auto"/>
          <w:spacing w:val="0"/>
          <w:position w:val="0"/>
          <w:sz w:val="22"/>
          <w:shd w:fill="auto" w:val="clear"/>
        </w:rPr>
      </w:pPr>
      <w:r>
        <w:rPr>
          <w:rFonts w:ascii="Calibri" w:hAnsi="Calibri" w:cs="Calibri" w:eastAsia="Calibri"/>
          <w:color w:val="auto"/>
          <w:spacing w:val="0"/>
          <w:position w:val="0"/>
          <w:sz w:val="22"/>
          <w:shd w:fill="auto" w:val="clear"/>
        </w:rPr>
        <w:t xml:space="preserve">Deception Cues</w:t>
      </w:r>
    </w:p>
    <w:p>
      <w:pPr>
        <w:spacing w:before="0" w:after="200" w:line="36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2)''Asking questions in an audit is different from asking questions in fraud investigation. Discuss this.</w:t>
      </w:r>
    </w:p>
    <w:p>
      <w:pPr>
        <w:spacing w:before="0" w:after="200" w:line="36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job of auditors in an external or internal audit is to ask questions. However, there is a difference between asking questions during audit and during a fraud investigation. In order to ask effective questions during a fraud it is important to use best practices for interview techniques. According to the founder of the ACFE, Joe Wells, '' the best clues usually don't come from the books but from the people who work with them . Questions asked during an interview might fall into any of the following categories:</w:t>
      </w:r>
    </w:p>
    <w:p>
      <w:pPr>
        <w:numPr>
          <w:ilvl w:val="0"/>
          <w:numId w:val="29"/>
        </w:numPr>
        <w:spacing w:before="0" w:after="200" w:line="36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Introductory</w:t>
      </w:r>
    </w:p>
    <w:p>
      <w:pPr>
        <w:numPr>
          <w:ilvl w:val="0"/>
          <w:numId w:val="29"/>
        </w:numPr>
        <w:spacing w:before="0" w:after="200" w:line="36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Informational</w:t>
      </w:r>
    </w:p>
    <w:p>
      <w:pPr>
        <w:numPr>
          <w:ilvl w:val="0"/>
          <w:numId w:val="29"/>
        </w:numPr>
        <w:spacing w:before="0" w:after="200" w:line="36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Assessment</w:t>
      </w:r>
    </w:p>
    <w:p>
      <w:pPr>
        <w:numPr>
          <w:ilvl w:val="0"/>
          <w:numId w:val="29"/>
        </w:numPr>
        <w:spacing w:before="0" w:after="200" w:line="36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Closing</w:t>
      </w:r>
    </w:p>
    <w:p>
      <w:pPr>
        <w:numPr>
          <w:ilvl w:val="0"/>
          <w:numId w:val="29"/>
        </w:numPr>
        <w:spacing w:before="0" w:after="200" w:line="36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Admission-seeking</w:t>
      </w:r>
    </w:p>
    <w:p>
      <w:pPr>
        <w:spacing w:before="0" w:after="200" w:line="36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According to most experts, open-ended questions are much more effective than simple ''Yes'' or No'' questions. One of the risks associated with interviews during fraud investigationis that the interviewer may not be trained or experienced in employing best practices for interviews, or  worse, may not be familiar with the legal protocol of carrying out interviews.</w:t>
      </w:r>
    </w:p>
    <w:p>
      <w:pPr>
        <w:spacing w:before="0" w:after="200" w:line="36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3)Discuss the interviewing procedure for a financially sophisticated victim.</w:t>
      </w:r>
    </w:p>
    <w:p>
      <w:pPr>
        <w:spacing w:before="0" w:after="200" w:line="36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Step 1</w:t>
      </w:r>
    </w:p>
    <w:p>
      <w:pPr>
        <w:spacing w:before="0" w:after="200" w:line="36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Bonding: In this first step, the interviewers try to bond and build rapport with the witness. They advise the interviewee generally of the reason for the interview, the point being to put the subject at ease. In some cases, the interviewee knows why the interview is being conducted and so may be relunctant or uncooperative. Management has to consider on advice of counsel, various methods to ensure the employee's cooperation with the investigation.</w:t>
      </w:r>
    </w:p>
    <w:p>
      <w:pPr>
        <w:spacing w:before="0" w:after="200" w:line="36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At all times be courteous toward interviewees. Remember you are attempting to obtain information; Be friendly, sympathetic, polite,professional and enthusiastic in what the interviewee has to offer.</w:t>
      </w:r>
    </w:p>
    <w:p>
      <w:pPr>
        <w:spacing w:before="0" w:after="200" w:line="36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Step 2</w:t>
      </w:r>
    </w:p>
    <w:p>
      <w:pPr>
        <w:spacing w:before="0" w:after="200" w:line="36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Baselining: Interviewers learn from experience, and in-depth research in interviewing techniques supports the observation that putting the witness at ease with small talk about sports, the weather, where they are from,and so on achieves two aims. The first aim is to enable movements, facial expressions and voice inflections under various stress levels. The value of observing body language, a technique used by some interviewers to draw conclusions about a witness veracity; is supported by an enormous amount of scientific research.</w:t>
      </w:r>
    </w:p>
    <w:p>
      <w:pPr>
        <w:spacing w:before="0" w:after="200" w:line="36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For instance, crossing the arms or scratching the nose could be indications of lying. There is sound evidence to this effect. Later, when you ask the tough questions, you may notice differences in these behaviours and others which could be instructive as to the witness culpability.</w:t>
      </w:r>
    </w:p>
    <w:p>
      <w:pPr>
        <w:spacing w:before="0" w:after="200" w:line="36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Step 3</w:t>
      </w:r>
    </w:p>
    <w:p>
      <w:pPr>
        <w:spacing w:before="0" w:after="200" w:line="36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Admissions and Defenses: Forensic Accounting Investigators want to develop a line of questioning that will cause their subjects to admit to knowledge about certain facts, procedures, policy, practices and any deviations from them thereby eliminating possible defenses when the time comes to state accusations.</w:t>
      </w:r>
    </w:p>
    <w:p>
      <w:pPr>
        <w:spacing w:before="0" w:after="200" w:line="36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Step 4</w:t>
      </w:r>
    </w:p>
    <w:p>
      <w:pPr>
        <w:spacing w:before="0" w:after="200" w:line="36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Confrontation: The interviewer lays the groundwork then brings the accusation. The goal is to make the witness feel the burden of guilt while also perceiving the interviewer as a sympathetic person in whom one can confide. The interviewer wants the subject to feel that further lying is fruitless.</w:t>
      </w:r>
    </w:p>
    <w:p>
      <w:pPr>
        <w:spacing w:before="0" w:after="200" w:line="36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Step 5</w:t>
      </w:r>
    </w:p>
    <w:p>
      <w:pPr>
        <w:spacing w:before="0" w:after="200" w:line="36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color w:val="auto"/>
          <w:spacing w:val="0"/>
          <w:position w:val="0"/>
          <w:sz w:val="22"/>
          <w:shd w:fill="auto" w:val="clear"/>
        </w:rPr>
        <w:t xml:space="preserve">The Admission:Now the interviewers should walk the subject through the facts and specific instances of the crimes. They should bring out documents and ask questions that will solidify her involvement, knowledge and intent. They should nail down the details, although always remaining sympathetic and compassionate. They should comfortand encourage the subject. And all the while they should take good notes and close the remaining gaps in knowledge.</w:t>
      </w:r>
    </w:p>
    <w:p>
      <w:pPr>
        <w:spacing w:before="0" w:after="200" w:line="36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Ind w:w="108" w:type="dxa"/>
      </w:tblPr>
      <w:tblGrid>
        <w:gridCol w:w="2310"/>
        <w:gridCol w:w="4035"/>
        <w:gridCol w:w="1276"/>
        <w:gridCol w:w="1621"/>
      </w:tblGrid>
      <w:tr>
        <w:trPr>
          <w:trHeight w:val="250" w:hRule="auto"/>
          <w:jc w:val="left"/>
        </w:trPr>
        <w:tc>
          <w:tcPr>
            <w:tcW w:w="2310" w:type="dxa"/>
            <w:tcBorders>
              <w:top w:val="single" w:color="000000" w:sz="4"/>
              <w:left w:val="single" w:color="000000" w:sz="4"/>
              <w:bottom w:val="single" w:color="000000" w:sz="4"/>
              <w:right w:val="single" w:color="000000" w:sz="4"/>
            </w:tcBorders>
            <w:shd w:color="auto" w:fill="d9d9d9" w:val="clear"/>
            <w:tcMar>
              <w:left w:w="80" w:type="dxa"/>
              <w:right w:w="80" w:type="dxa"/>
            </w:tcMar>
            <w:vAlign w:val="top"/>
          </w:tcPr>
          <w:p>
            <w:pPr>
              <w:spacing w:before="0" w:after="200" w:line="276"/>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4"/>
              <w:left w:val="single" w:color="000000" w:sz="4"/>
              <w:bottom w:val="single" w:color="000000" w:sz="4"/>
              <w:right w:val="single" w:color="000000" w:sz="4"/>
            </w:tcBorders>
            <w:shd w:color="auto" w:fill="auto" w:val="clear"/>
            <w:tcMar>
              <w:left w:w="80" w:type="dxa"/>
              <w:right w:w="8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OLUWASEUN JEBODA</w:t>
            </w:r>
          </w:p>
        </w:tc>
        <w:tc>
          <w:tcPr>
            <w:tcW w:w="1276" w:type="dxa"/>
            <w:tcBorders>
              <w:top w:val="single" w:color="000000" w:sz="4"/>
              <w:left w:val="single" w:color="000000" w:sz="4"/>
              <w:bottom w:val="single" w:color="000000" w:sz="4"/>
              <w:right w:val="single" w:color="000000" w:sz="4"/>
            </w:tcBorders>
            <w:shd w:color="auto" w:fill="d9d9d9" w:val="clear"/>
            <w:tcMar>
              <w:left w:w="80" w:type="dxa"/>
              <w:right w:w="80"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Date</w:t>
            </w:r>
          </w:p>
        </w:tc>
        <w:tc>
          <w:tcPr>
            <w:tcW w:w="1621" w:type="dxa"/>
            <w:tcBorders>
              <w:top w:val="single" w:color="000000" w:sz="4"/>
              <w:left w:val="single" w:color="000000" w:sz="4"/>
              <w:bottom w:val="single" w:color="000000" w:sz="4"/>
              <w:right w:val="single" w:color="000000" w:sz="4"/>
            </w:tcBorders>
            <w:shd w:color="auto" w:fill="auto" w:val="clear"/>
            <w:tcMar>
              <w:left w:w="80" w:type="dxa"/>
              <w:right w:w="8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11/11/2018</w:t>
            </w:r>
          </w:p>
        </w:tc>
      </w:tr>
    </w:tbl>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000000"/>
          <w:spacing w:val="0"/>
          <w:position w:val="0"/>
          <w:sz w:val="32"/>
          <w:shd w:fill="D9D9D9" w:val="clear"/>
        </w:rPr>
      </w:pPr>
      <w:r>
        <w:rPr>
          <w:rFonts w:ascii="Calibri" w:hAnsi="Calibri" w:cs="Calibri" w:eastAsia="Calibri"/>
          <w:b/>
          <w:color w:val="000000"/>
          <w:spacing w:val="0"/>
          <w:position w:val="0"/>
          <w:sz w:val="28"/>
          <w:shd w:fill="D9D9D9" w:val="clear"/>
        </w:rPr>
        <w:t xml:space="preserve">For Tutor / Assessor Use Only</w:t>
      </w:r>
    </w:p>
    <w:tbl>
      <w:tblPr>
        <w:tblInd w:w="108" w:type="dxa"/>
      </w:tblPr>
      <w:tblGrid>
        <w:gridCol w:w="4621"/>
        <w:gridCol w:w="4621"/>
      </w:tblGrid>
      <w:tr>
        <w:trPr>
          <w:trHeight w:val="250" w:hRule="auto"/>
          <w:jc w:val="left"/>
        </w:trPr>
        <w:tc>
          <w:tcPr>
            <w:tcW w:w="4621" w:type="dxa"/>
            <w:tcBorders>
              <w:top w:val="single" w:color="000000" w:sz="4"/>
              <w:left w:val="single" w:color="000000" w:sz="4"/>
              <w:bottom w:val="single" w:color="000000" w:sz="4"/>
              <w:right w:val="single" w:color="000000" w:sz="4"/>
            </w:tcBorders>
            <w:shd w:color="auto" w:fill="d9d9d9" w:val="clear"/>
            <w:tcMar>
              <w:left w:w="80" w:type="dxa"/>
              <w:right w:w="80" w:type="dxa"/>
            </w:tcMar>
            <w:vAlign w:val="top"/>
          </w:tcPr>
          <w:p>
            <w:pPr>
              <w:spacing w:before="0" w:after="200" w:line="276"/>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Total Marks</w:t>
            </w:r>
          </w:p>
        </w:tc>
        <w:tc>
          <w:tcPr>
            <w:tcW w:w="4621" w:type="dxa"/>
            <w:tcBorders>
              <w:top w:val="single" w:color="000000" w:sz="4"/>
              <w:left w:val="single" w:color="000000" w:sz="4"/>
              <w:bottom w:val="single" w:color="000000" w:sz="4"/>
              <w:right w:val="single" w:color="000000" w:sz="4"/>
            </w:tcBorders>
            <w:shd w:color="auto" w:fill="auto" w:val="clear"/>
            <w:tcMar>
              <w:left w:w="80" w:type="dxa"/>
              <w:right w:w="80"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250" w:hRule="auto"/>
          <w:jc w:val="left"/>
        </w:trPr>
        <w:tc>
          <w:tcPr>
            <w:tcW w:w="4621" w:type="dxa"/>
            <w:tcBorders>
              <w:top w:val="single" w:color="000000" w:sz="4"/>
              <w:left w:val="single" w:color="000000" w:sz="4"/>
              <w:bottom w:val="single" w:color="000000" w:sz="4"/>
              <w:right w:val="single" w:color="000000" w:sz="4"/>
            </w:tcBorders>
            <w:shd w:color="auto" w:fill="d9d9d9" w:val="clear"/>
            <w:tcMar>
              <w:left w:w="80" w:type="dxa"/>
              <w:right w:w="80"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Marks Obtained</w:t>
            </w:r>
          </w:p>
        </w:tc>
        <w:tc>
          <w:tcPr>
            <w:tcW w:w="4621" w:type="dxa"/>
            <w:tcBorders>
              <w:top w:val="single" w:color="000000" w:sz="4"/>
              <w:left w:val="single" w:color="000000" w:sz="4"/>
              <w:bottom w:val="single" w:color="000000" w:sz="4"/>
              <w:right w:val="single" w:color="000000" w:sz="4"/>
            </w:tcBorders>
            <w:shd w:color="auto" w:fill="auto" w:val="clear"/>
            <w:tcMar>
              <w:left w:w="80" w:type="dxa"/>
              <w:right w:w="80"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250" w:hRule="auto"/>
          <w:jc w:val="left"/>
        </w:trPr>
        <w:tc>
          <w:tcPr>
            <w:tcW w:w="4621" w:type="dxa"/>
            <w:tcBorders>
              <w:top w:val="single" w:color="000000" w:sz="4"/>
              <w:left w:val="single" w:color="000000" w:sz="4"/>
              <w:bottom w:val="single" w:color="000000" w:sz="4"/>
              <w:right w:val="single" w:color="000000" w:sz="4"/>
            </w:tcBorders>
            <w:shd w:color="auto" w:fill="d9d9d9" w:val="clear"/>
            <w:tcMar>
              <w:left w:w="80" w:type="dxa"/>
              <w:right w:w="80"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Percentage / Grade</w:t>
            </w:r>
          </w:p>
        </w:tc>
        <w:tc>
          <w:tcPr>
            <w:tcW w:w="4621" w:type="dxa"/>
            <w:tcBorders>
              <w:top w:val="single" w:color="000000" w:sz="4"/>
              <w:left w:val="single" w:color="000000" w:sz="4"/>
              <w:bottom w:val="single" w:color="000000" w:sz="4"/>
              <w:right w:val="single" w:color="000000" w:sz="4"/>
            </w:tcBorders>
            <w:shd w:color="auto" w:fill="auto" w:val="clear"/>
            <w:tcMar>
              <w:left w:w="80" w:type="dxa"/>
              <w:right w:w="80"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40"/>
        <w:ind w:right="0" w:left="0" w:firstLine="0"/>
        <w:jc w:val="left"/>
        <w:rPr>
          <w:rFonts w:ascii="Calibri" w:hAnsi="Calibri" w:cs="Calibri" w:eastAsia="Calibri"/>
          <w:b/>
          <w:color w:val="000000"/>
          <w:spacing w:val="0"/>
          <w:position w:val="0"/>
          <w:sz w:val="32"/>
          <w:shd w:fill="D9D9D9" w:val="clear"/>
        </w:rPr>
      </w:pPr>
    </w:p>
    <w:p>
      <w:pPr>
        <w:spacing w:before="0" w:after="200" w:line="276"/>
        <w:ind w:right="0" w:left="0" w:firstLine="0"/>
        <w:jc w:val="left"/>
        <w:rPr>
          <w:rFonts w:ascii="Calibri" w:hAnsi="Calibri" w:cs="Calibri" w:eastAsia="Calibri"/>
          <w:color w:val="000000"/>
          <w:spacing w:val="0"/>
          <w:position w:val="0"/>
          <w:sz w:val="24"/>
          <w:shd w:fill="auto" w:val="clear"/>
        </w:rPr>
      </w:pPr>
    </w:p>
    <w:p>
      <w:pPr>
        <w:spacing w:before="0" w:after="200" w:line="276"/>
        <w:ind w:right="0" w:left="0" w:firstLine="0"/>
        <w:jc w:val="left"/>
        <w:rPr>
          <w:rFonts w:ascii="Calibri" w:hAnsi="Calibri" w:cs="Calibri" w:eastAsia="Calibri"/>
          <w:color w:val="000000"/>
          <w:spacing w:val="0"/>
          <w:position w:val="0"/>
          <w:sz w:val="24"/>
          <w:shd w:fill="auto" w:val="clear"/>
        </w:rPr>
      </w:pPr>
    </w:p>
    <w:p>
      <w:pPr>
        <w:spacing w:before="0" w:after="200" w:line="276"/>
        <w:ind w:right="0" w:left="0" w:firstLine="0"/>
        <w:jc w:val="left"/>
        <w:rPr>
          <w:rFonts w:ascii="Calibri" w:hAnsi="Calibri" w:cs="Calibri" w:eastAsia="Calibri"/>
          <w:color w:val="000000"/>
          <w:spacing w:val="0"/>
          <w:position w:val="0"/>
          <w:sz w:val="24"/>
          <w:shd w:fill="auto" w:val="clear"/>
        </w:rPr>
      </w:pPr>
    </w:p>
    <w:p>
      <w:pPr>
        <w:spacing w:before="0" w:after="200" w:line="276"/>
        <w:ind w:right="0" w:left="0" w:firstLine="0"/>
        <w:jc w:val="left"/>
        <w:rPr>
          <w:rFonts w:ascii="Calibri" w:hAnsi="Calibri" w:cs="Calibri" w:eastAsia="Calibri"/>
          <w:color w:val="000000"/>
          <w:spacing w:val="0"/>
          <w:position w:val="0"/>
          <w:sz w:val="24"/>
          <w:shd w:fill="auto" w:val="clear"/>
        </w:rPr>
      </w:pPr>
    </w:p>
    <w:p>
      <w:pPr>
        <w:spacing w:before="0" w:after="200" w:line="276"/>
        <w:ind w:right="0" w:left="0" w:firstLine="0"/>
        <w:jc w:val="left"/>
        <w:rPr>
          <w:rFonts w:ascii="Calibri" w:hAnsi="Calibri" w:cs="Calibri" w:eastAsia="Calibri"/>
          <w:color w:val="000000"/>
          <w:spacing w:val="0"/>
          <w:position w:val="0"/>
          <w:sz w:val="24"/>
          <w:shd w:fill="auto" w:val="clear"/>
        </w:rPr>
      </w:pPr>
    </w:p>
    <w:p>
      <w:pPr>
        <w:spacing w:before="0" w:after="200" w:line="276"/>
        <w:ind w:right="0" w:left="0" w:firstLine="0"/>
        <w:jc w:val="left"/>
        <w:rPr>
          <w:rFonts w:ascii="Calibri" w:hAnsi="Calibri" w:cs="Calibri" w:eastAsia="Calibri"/>
          <w:color w:val="000000"/>
          <w:spacing w:val="0"/>
          <w:position w:val="0"/>
          <w:sz w:val="24"/>
          <w:shd w:fill="auto" w:val="clear"/>
        </w:rPr>
      </w:pPr>
    </w:p>
    <w:p>
      <w:pPr>
        <w:spacing w:before="0" w:after="200" w:line="276"/>
        <w:ind w:right="0" w:left="0" w:firstLine="0"/>
        <w:jc w:val="left"/>
        <w:rPr>
          <w:rFonts w:ascii="Calibri" w:hAnsi="Calibri" w:cs="Calibri" w:eastAsia="Calibri"/>
          <w:color w:val="000000"/>
          <w:spacing w:val="0"/>
          <w:position w:val="0"/>
          <w:sz w:val="24"/>
          <w:shd w:fill="auto" w:val="clear"/>
        </w:rPr>
      </w:pPr>
    </w:p>
    <w:p>
      <w:pPr>
        <w:spacing w:before="0" w:after="200" w:line="276"/>
        <w:ind w:right="0" w:left="0" w:firstLine="0"/>
        <w:jc w:val="left"/>
        <w:rPr>
          <w:rFonts w:ascii="Calibri" w:hAnsi="Calibri" w:cs="Calibri" w:eastAsia="Calibri"/>
          <w:color w:val="000000"/>
          <w:spacing w:val="0"/>
          <w:position w:val="0"/>
          <w:sz w:val="24"/>
          <w:shd w:fill="auto" w:val="clear"/>
        </w:rPr>
      </w:pPr>
    </w:p>
    <w:p>
      <w:pPr>
        <w:spacing w:before="0" w:after="200" w:line="276"/>
        <w:ind w:right="0" w:left="0" w:firstLine="0"/>
        <w:jc w:val="left"/>
        <w:rPr>
          <w:rFonts w:ascii="Calibri" w:hAnsi="Calibri" w:cs="Calibri" w:eastAsia="Calibri"/>
          <w:color w:val="000000"/>
          <w:spacing w:val="0"/>
          <w:position w:val="0"/>
          <w:sz w:val="24"/>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abstractNum w:abstractNumId="24">
    <w:lvl w:ilvl="0">
      <w:start w:val="1"/>
      <w:numFmt w:val="bullet"/>
      <w:lvlText w:val="•"/>
    </w:lvl>
  </w:abstractNum>
  <w:num w:numId="21">
    <w:abstractNumId w:val="24"/>
  </w:num>
  <w:num w:numId="23">
    <w:abstractNumId w:val="18"/>
  </w:num>
  <w:num w:numId="25">
    <w:abstractNumId w:val="12"/>
  </w:num>
  <w:num w:numId="27">
    <w:abstractNumId w:val="6"/>
  </w:num>
  <w:num w:numId="29">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embeddings/oleObject0.bin" Id="docRId0" Type="http://schemas.openxmlformats.org/officeDocument/2006/relationships/oleObject" /><Relationship Target="media/image0.wmf" Id="docRId1" Type="http://schemas.openxmlformats.org/officeDocument/2006/relationships/image" /><Relationship Target="numbering.xml" Id="docRId2" Type="http://schemas.openxmlformats.org/officeDocument/2006/relationships/numbering" /><Relationship Target="styles.xml" Id="docRId3" Type="http://schemas.openxmlformats.org/officeDocument/2006/relationships/styles" /></Relationships>
</file>