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F68" w:rsidRDefault="00523F68" w:rsidP="00523F68">
      <w:pPr>
        <w:rPr>
          <w:sz w:val="40"/>
          <w:u w:val="single"/>
        </w:rPr>
      </w:pPr>
      <w:r>
        <w:rPr>
          <w:sz w:val="40"/>
        </w:rPr>
        <w:tab/>
      </w:r>
      <w:r w:rsidRPr="00523F68">
        <w:rPr>
          <w:sz w:val="40"/>
          <w:u w:val="single"/>
        </w:rPr>
        <w:t>BRIEF DESCRIPTION OF RISK MANAGEMENT</w:t>
      </w:r>
    </w:p>
    <w:p w:rsidR="00523F68" w:rsidRPr="00523F68" w:rsidRDefault="00523F68" w:rsidP="00523F68">
      <w:pPr>
        <w:rPr>
          <w:sz w:val="40"/>
          <w:u w:val="single"/>
        </w:rPr>
      </w:pPr>
    </w:p>
    <w:p w:rsidR="00523F68" w:rsidRPr="00523F68" w:rsidRDefault="00523F68" w:rsidP="00523F68">
      <w:pPr>
        <w:shd w:val="clear" w:color="auto" w:fill="FFFFFF"/>
        <w:spacing w:after="384" w:line="240" w:lineRule="auto"/>
        <w:rPr>
          <w:rFonts w:ascii="Times New Roman" w:eastAsia="Times New Roman" w:hAnsi="Times New Roman" w:cs="Times New Roman"/>
          <w:sz w:val="30"/>
          <w:szCs w:val="30"/>
          <w:lang w:eastAsia="en-GB"/>
        </w:rPr>
      </w:pPr>
      <w:r w:rsidRPr="00523F68">
        <w:rPr>
          <w:rFonts w:ascii="Times New Roman" w:eastAsia="Times New Roman" w:hAnsi="Times New Roman" w:cs="Times New Roman"/>
          <w:sz w:val="30"/>
          <w:szCs w:val="30"/>
          <w:lang w:eastAsia="en-GB"/>
        </w:rPr>
        <w:t>Some historians believe that the earliest concept of managing risk arose because of gaming. Thousands of years before Internet users could play online poker, people in different ancient civilizations played games with dice and bones. Also, people played games that evolved into chess and checkers well over two thousand years ago.</w:t>
      </w:r>
    </w:p>
    <w:p w:rsidR="00523F68" w:rsidRPr="00523F68" w:rsidRDefault="00523F68" w:rsidP="00523F68">
      <w:pPr>
        <w:shd w:val="clear" w:color="auto" w:fill="FFFFFF"/>
        <w:spacing w:after="384" w:line="240" w:lineRule="auto"/>
        <w:rPr>
          <w:rFonts w:ascii="Times New Roman" w:eastAsia="Times New Roman" w:hAnsi="Times New Roman" w:cs="Times New Roman"/>
          <w:sz w:val="30"/>
          <w:szCs w:val="30"/>
          <w:lang w:eastAsia="en-GB"/>
        </w:rPr>
      </w:pPr>
      <w:r w:rsidRPr="00523F68">
        <w:rPr>
          <w:rFonts w:ascii="Times New Roman" w:eastAsia="Times New Roman" w:hAnsi="Times New Roman" w:cs="Times New Roman"/>
          <w:sz w:val="30"/>
          <w:szCs w:val="30"/>
          <w:lang w:eastAsia="en-GB"/>
        </w:rPr>
        <w:t>Some historical evidence that gaming gave rise to probability theory, important to risk management, comes from writings by Dante and Galileo. The famous mathematicians, Pascal and Fermat, wrote each other about games of chance in the 1600s, a correspondence that is believed to have given rise to modern probability theory used today.</w:t>
      </w:r>
    </w:p>
    <w:p w:rsidR="00523F68" w:rsidRDefault="00523F68" w:rsidP="00523F68">
      <w:pPr>
        <w:shd w:val="clear" w:color="auto" w:fill="FFFFFF"/>
        <w:spacing w:after="384" w:line="240" w:lineRule="auto"/>
        <w:rPr>
          <w:rFonts w:ascii="Times New Roman" w:eastAsia="Times New Roman" w:hAnsi="Times New Roman" w:cs="Times New Roman"/>
          <w:sz w:val="30"/>
          <w:szCs w:val="30"/>
          <w:lang w:eastAsia="en-GB"/>
        </w:rPr>
      </w:pPr>
      <w:r w:rsidRPr="00523F68">
        <w:rPr>
          <w:rFonts w:ascii="Times New Roman" w:eastAsia="Times New Roman" w:hAnsi="Times New Roman" w:cs="Times New Roman"/>
          <w:sz w:val="30"/>
          <w:szCs w:val="30"/>
          <w:lang w:eastAsia="en-GB"/>
        </w:rPr>
        <w:t>If one were to consider the role of insurance in risk management, it is still possible to trace it back to ancient times. For example, mutual aid and burial societies have been documented as far back as the earliest days of ancient Rome. These are considered the precursors of modern insurance companies.</w:t>
      </w:r>
    </w:p>
    <w:p w:rsidR="00BE0483" w:rsidRDefault="00BE0483" w:rsidP="00523F68">
      <w:pPr>
        <w:shd w:val="clear" w:color="auto" w:fill="FFFFFF"/>
        <w:spacing w:after="384" w:line="240" w:lineRule="auto"/>
        <w:rPr>
          <w:rFonts w:ascii="Times New Roman" w:eastAsia="Times New Roman" w:hAnsi="Times New Roman" w:cs="Times New Roman"/>
          <w:sz w:val="30"/>
          <w:szCs w:val="30"/>
          <w:lang w:eastAsia="en-GB"/>
        </w:rPr>
      </w:pPr>
    </w:p>
    <w:p w:rsidR="00BE0483" w:rsidRDefault="00BE0483" w:rsidP="00523F68">
      <w:pPr>
        <w:shd w:val="clear" w:color="auto" w:fill="FFFFFF"/>
        <w:spacing w:after="384" w:line="240" w:lineRule="auto"/>
        <w:rPr>
          <w:rFonts w:ascii="Times New Roman" w:eastAsia="Times New Roman" w:hAnsi="Times New Roman" w:cs="Times New Roman"/>
          <w:sz w:val="30"/>
          <w:szCs w:val="30"/>
          <w:lang w:eastAsia="en-GB"/>
        </w:rPr>
      </w:pPr>
    </w:p>
    <w:p w:rsidR="00BE0483" w:rsidRDefault="00BE0483" w:rsidP="00523F68">
      <w:pPr>
        <w:shd w:val="clear" w:color="auto" w:fill="FFFFFF"/>
        <w:spacing w:after="384" w:line="240" w:lineRule="auto"/>
        <w:rPr>
          <w:rFonts w:ascii="Times New Roman" w:eastAsia="Times New Roman" w:hAnsi="Times New Roman" w:cs="Times New Roman"/>
          <w:sz w:val="30"/>
          <w:szCs w:val="30"/>
          <w:lang w:eastAsia="en-GB"/>
        </w:rPr>
      </w:pPr>
    </w:p>
    <w:p w:rsidR="00BE0483" w:rsidRDefault="00BE0483" w:rsidP="00523F68">
      <w:pPr>
        <w:shd w:val="clear" w:color="auto" w:fill="FFFFFF"/>
        <w:spacing w:after="384" w:line="240" w:lineRule="auto"/>
        <w:rPr>
          <w:rFonts w:ascii="Times New Roman" w:eastAsia="Times New Roman" w:hAnsi="Times New Roman" w:cs="Times New Roman"/>
          <w:sz w:val="30"/>
          <w:szCs w:val="30"/>
          <w:lang w:eastAsia="en-GB"/>
        </w:rPr>
      </w:pPr>
    </w:p>
    <w:p w:rsidR="00BE0483" w:rsidRDefault="00BE0483" w:rsidP="00523F68">
      <w:pPr>
        <w:shd w:val="clear" w:color="auto" w:fill="FFFFFF"/>
        <w:spacing w:after="384" w:line="240" w:lineRule="auto"/>
        <w:rPr>
          <w:rFonts w:ascii="Times New Roman" w:eastAsia="Times New Roman" w:hAnsi="Times New Roman" w:cs="Times New Roman"/>
          <w:sz w:val="30"/>
          <w:szCs w:val="30"/>
          <w:lang w:eastAsia="en-GB"/>
        </w:rPr>
      </w:pPr>
    </w:p>
    <w:p w:rsidR="00BE0483" w:rsidRDefault="00BE0483" w:rsidP="00523F68">
      <w:pPr>
        <w:shd w:val="clear" w:color="auto" w:fill="FFFFFF"/>
        <w:spacing w:after="384" w:line="240" w:lineRule="auto"/>
        <w:rPr>
          <w:rFonts w:ascii="Times New Roman" w:eastAsia="Times New Roman" w:hAnsi="Times New Roman" w:cs="Times New Roman"/>
          <w:sz w:val="30"/>
          <w:szCs w:val="30"/>
          <w:lang w:eastAsia="en-GB"/>
        </w:rPr>
      </w:pPr>
    </w:p>
    <w:p w:rsidR="00BE0483" w:rsidRDefault="00BE0483" w:rsidP="00523F68">
      <w:pPr>
        <w:shd w:val="clear" w:color="auto" w:fill="FFFFFF"/>
        <w:spacing w:after="384" w:line="240" w:lineRule="auto"/>
        <w:rPr>
          <w:rFonts w:ascii="Times New Roman" w:eastAsia="Times New Roman" w:hAnsi="Times New Roman" w:cs="Times New Roman"/>
          <w:sz w:val="30"/>
          <w:szCs w:val="30"/>
          <w:lang w:eastAsia="en-GB"/>
        </w:rPr>
      </w:pPr>
    </w:p>
    <w:p w:rsidR="00BE0483" w:rsidRDefault="00BE0483" w:rsidP="00523F68">
      <w:pPr>
        <w:shd w:val="clear" w:color="auto" w:fill="FFFFFF"/>
        <w:spacing w:after="384" w:line="240" w:lineRule="auto"/>
        <w:rPr>
          <w:rFonts w:ascii="Times New Roman" w:eastAsia="Times New Roman" w:hAnsi="Times New Roman" w:cs="Times New Roman"/>
          <w:sz w:val="30"/>
          <w:szCs w:val="30"/>
          <w:lang w:eastAsia="en-GB"/>
        </w:rPr>
      </w:pPr>
    </w:p>
    <w:p w:rsidR="00BE0483" w:rsidRPr="00154D5C" w:rsidRDefault="00BE0483" w:rsidP="00BE0483">
      <w:pPr>
        <w:pStyle w:val="Heading1"/>
        <w:spacing w:after="240"/>
        <w:rPr>
          <w:rFonts w:ascii="Calibri" w:hAnsi="Calibri"/>
          <w:color w:val="1F497D"/>
        </w:rPr>
      </w:pPr>
      <w:r w:rsidRPr="00154D5C">
        <w:rPr>
          <w:rFonts w:ascii="Calibri" w:hAnsi="Calibri"/>
          <w:color w:val="1F497D"/>
        </w:rPr>
        <w:t xml:space="preserve">Risk Management </w:t>
      </w:r>
      <w:r>
        <w:rPr>
          <w:rFonts w:ascii="Calibri" w:hAnsi="Calibri"/>
          <w:color w:val="1F497D"/>
        </w:rPr>
        <w:t xml:space="preserve">development </w:t>
      </w:r>
      <w:r w:rsidRPr="00154D5C">
        <w:rPr>
          <w:rFonts w:ascii="Calibri" w:hAnsi="Calibri"/>
          <w:color w:val="1F497D"/>
        </w:rPr>
        <w:t>process</w:t>
      </w:r>
    </w:p>
    <w:p w:rsidR="00BE0483" w:rsidRDefault="00BE0483" w:rsidP="00BE0483">
      <w:pPr>
        <w:spacing w:after="120"/>
        <w:rPr>
          <w:sz w:val="20"/>
          <w:szCs w:val="20"/>
        </w:rPr>
      </w:pPr>
      <w:r>
        <w:rPr>
          <w:sz w:val="20"/>
          <w:szCs w:val="20"/>
        </w:rPr>
        <w:t>Risk Management is a five step process:</w:t>
      </w:r>
    </w:p>
    <w:p w:rsidR="00BE0483" w:rsidRDefault="00BE0483" w:rsidP="00BE0483">
      <w:pPr>
        <w:spacing w:after="0"/>
        <w:rPr>
          <w:sz w:val="20"/>
          <w:szCs w:val="20"/>
        </w:rPr>
      </w:pPr>
      <w:r>
        <w:rPr>
          <w:sz w:val="20"/>
          <w:szCs w:val="20"/>
        </w:rPr>
        <w:t>Step 1 – Establish the context</w:t>
      </w:r>
    </w:p>
    <w:p w:rsidR="00BE0483" w:rsidRDefault="00BE0483" w:rsidP="00BE0483">
      <w:pPr>
        <w:spacing w:after="0"/>
        <w:rPr>
          <w:sz w:val="20"/>
          <w:szCs w:val="20"/>
        </w:rPr>
      </w:pPr>
      <w:r>
        <w:rPr>
          <w:sz w:val="20"/>
          <w:szCs w:val="20"/>
        </w:rPr>
        <w:t>Step 2 – Identify the risks</w:t>
      </w:r>
    </w:p>
    <w:p w:rsidR="00BE0483" w:rsidRDefault="00BE0483" w:rsidP="00BE0483">
      <w:pPr>
        <w:spacing w:after="0"/>
        <w:rPr>
          <w:sz w:val="20"/>
          <w:szCs w:val="20"/>
        </w:rPr>
      </w:pPr>
      <w:r>
        <w:rPr>
          <w:sz w:val="20"/>
          <w:szCs w:val="20"/>
        </w:rPr>
        <w:t>Step 3 – Analyse the risks</w:t>
      </w:r>
    </w:p>
    <w:p w:rsidR="00BE0483" w:rsidRDefault="00BE0483" w:rsidP="00BE0483">
      <w:pPr>
        <w:spacing w:after="0"/>
        <w:rPr>
          <w:sz w:val="20"/>
          <w:szCs w:val="20"/>
        </w:rPr>
      </w:pPr>
      <w:r>
        <w:rPr>
          <w:sz w:val="20"/>
          <w:szCs w:val="20"/>
        </w:rPr>
        <w:t>Step 4 – Evaluate the risks</w:t>
      </w:r>
    </w:p>
    <w:p w:rsidR="00BE0483" w:rsidRDefault="00BE0483" w:rsidP="00BE0483">
      <w:pPr>
        <w:spacing w:after="120"/>
        <w:rPr>
          <w:sz w:val="20"/>
          <w:szCs w:val="20"/>
        </w:rPr>
      </w:pPr>
      <w:r>
        <w:rPr>
          <w:sz w:val="20"/>
          <w:szCs w:val="20"/>
        </w:rPr>
        <w:t>Step 5 – Treat the risks</w:t>
      </w:r>
    </w:p>
    <w:p w:rsidR="00BE0483" w:rsidRPr="00D81B03" w:rsidRDefault="00BE0483" w:rsidP="00BE0483">
      <w:pPr>
        <w:spacing w:after="240"/>
        <w:rPr>
          <w:sz w:val="20"/>
          <w:szCs w:val="20"/>
        </w:rPr>
      </w:pPr>
      <w:r>
        <w:rPr>
          <w:sz w:val="20"/>
          <w:szCs w:val="20"/>
        </w:rPr>
        <w:t>Throughout each step it is essential that there is consultation and communication with everyone in your organisation’s functions, activities and events (refer to diagram).</w:t>
      </w:r>
    </w:p>
    <w:p w:rsidR="00BE0483" w:rsidRDefault="00BE0483" w:rsidP="00BE0483">
      <w:pPr>
        <w:spacing w:after="0"/>
        <w:jc w:val="center"/>
        <w:rPr>
          <w:sz w:val="20"/>
          <w:szCs w:val="20"/>
        </w:rPr>
      </w:pPr>
      <w:r>
        <w:rPr>
          <w:noProof/>
          <w:sz w:val="20"/>
          <w:szCs w:val="20"/>
          <w:lang w:eastAsia="en-GB"/>
        </w:rPr>
        <w:drawing>
          <wp:inline distT="0" distB="0" distL="0" distR="0">
            <wp:extent cx="4251325" cy="33845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4251325" cy="3384550"/>
                    </a:xfrm>
                    <a:prstGeom prst="rect">
                      <a:avLst/>
                    </a:prstGeom>
                    <a:noFill/>
                    <a:ln w="9525">
                      <a:noFill/>
                      <a:miter lim="800000"/>
                      <a:headEnd/>
                      <a:tailEnd/>
                    </a:ln>
                  </pic:spPr>
                </pic:pic>
              </a:graphicData>
            </a:graphic>
          </wp:inline>
        </w:drawing>
      </w:r>
    </w:p>
    <w:p w:rsidR="00BE0483" w:rsidRPr="00154D5C" w:rsidRDefault="00BE0483" w:rsidP="00BE0483">
      <w:pPr>
        <w:spacing w:after="120"/>
        <w:rPr>
          <w:color w:val="4F81BD"/>
          <w:sz w:val="20"/>
          <w:szCs w:val="20"/>
        </w:rPr>
      </w:pPr>
    </w:p>
    <w:p w:rsidR="00BE0483" w:rsidRPr="00ED38FE" w:rsidRDefault="00BE0483" w:rsidP="00BE0483">
      <w:pPr>
        <w:spacing w:after="120"/>
        <w:rPr>
          <w:b/>
          <w:sz w:val="20"/>
          <w:szCs w:val="20"/>
        </w:rPr>
      </w:pPr>
      <w:r w:rsidRPr="00ED38FE">
        <w:rPr>
          <w:b/>
          <w:color w:val="4F81BD"/>
          <w:sz w:val="24"/>
          <w:szCs w:val="24"/>
        </w:rPr>
        <w:t>Step 1 – Establish the context</w:t>
      </w:r>
    </w:p>
    <w:p w:rsidR="00BE0483" w:rsidRDefault="00BE0483" w:rsidP="00BE0483">
      <w:pPr>
        <w:spacing w:after="120"/>
        <w:rPr>
          <w:sz w:val="20"/>
          <w:szCs w:val="20"/>
        </w:rPr>
      </w:pPr>
      <w:r>
        <w:rPr>
          <w:sz w:val="20"/>
          <w:szCs w:val="20"/>
        </w:rPr>
        <w:t>Before risk can be clearly understood and dealt with, it is important to understand the context in which it exists. You should define the relationship between your club and the environment that it operates in so that the boundaries for dealing with risk are clear.</w:t>
      </w:r>
    </w:p>
    <w:p w:rsidR="00BE0483" w:rsidRDefault="00BE0483" w:rsidP="00BE0483">
      <w:pPr>
        <w:spacing w:after="0"/>
        <w:rPr>
          <w:sz w:val="20"/>
          <w:szCs w:val="20"/>
        </w:rPr>
      </w:pPr>
      <w:r>
        <w:rPr>
          <w:sz w:val="20"/>
          <w:szCs w:val="20"/>
        </w:rPr>
        <w:t>Establish the content by considering:</w:t>
      </w:r>
    </w:p>
    <w:p w:rsidR="00BE0483" w:rsidRDefault="00BE0483" w:rsidP="00BE0483">
      <w:pPr>
        <w:numPr>
          <w:ilvl w:val="0"/>
          <w:numId w:val="1"/>
        </w:numPr>
        <w:spacing w:after="0"/>
        <w:rPr>
          <w:sz w:val="20"/>
          <w:szCs w:val="20"/>
        </w:rPr>
      </w:pPr>
      <w:r>
        <w:rPr>
          <w:sz w:val="20"/>
          <w:szCs w:val="20"/>
        </w:rPr>
        <w:t>The strategic context – the environment within which the organisation operates</w:t>
      </w:r>
    </w:p>
    <w:p w:rsidR="00BE0483" w:rsidRDefault="00BE0483" w:rsidP="00BE0483">
      <w:pPr>
        <w:numPr>
          <w:ilvl w:val="0"/>
          <w:numId w:val="1"/>
        </w:numPr>
        <w:spacing w:after="0"/>
        <w:rPr>
          <w:sz w:val="20"/>
          <w:szCs w:val="20"/>
        </w:rPr>
      </w:pPr>
      <w:r>
        <w:rPr>
          <w:sz w:val="20"/>
          <w:szCs w:val="20"/>
        </w:rPr>
        <w:t>The organisational context – the objectives, core activities and operation’s of the club.</w:t>
      </w:r>
    </w:p>
    <w:p w:rsidR="00BE0483" w:rsidRDefault="00BE0483" w:rsidP="00BE0483">
      <w:pPr>
        <w:spacing w:after="0"/>
        <w:rPr>
          <w:sz w:val="20"/>
          <w:szCs w:val="20"/>
        </w:rPr>
      </w:pPr>
    </w:p>
    <w:p w:rsidR="00BE0483" w:rsidRPr="00ED38FE" w:rsidRDefault="00BE0483" w:rsidP="00BE0483">
      <w:pPr>
        <w:spacing w:after="120"/>
        <w:rPr>
          <w:b/>
          <w:color w:val="4F81BD"/>
          <w:sz w:val="24"/>
          <w:szCs w:val="24"/>
        </w:rPr>
      </w:pPr>
      <w:r>
        <w:rPr>
          <w:b/>
          <w:color w:val="4F81BD"/>
          <w:sz w:val="24"/>
          <w:szCs w:val="24"/>
        </w:rPr>
        <w:br w:type="page"/>
      </w:r>
      <w:r w:rsidRPr="00ED38FE">
        <w:rPr>
          <w:b/>
          <w:color w:val="4F81BD"/>
          <w:sz w:val="24"/>
          <w:szCs w:val="24"/>
        </w:rPr>
        <w:t>Step 2 – Identify the risks</w:t>
      </w:r>
    </w:p>
    <w:p w:rsidR="00BE0483" w:rsidRDefault="00BE0483" w:rsidP="00BE0483">
      <w:pPr>
        <w:spacing w:after="120"/>
        <w:rPr>
          <w:sz w:val="20"/>
          <w:szCs w:val="20"/>
        </w:rPr>
      </w:pPr>
      <w:r>
        <w:rPr>
          <w:sz w:val="20"/>
          <w:szCs w:val="20"/>
        </w:rPr>
        <w:t xml:space="preserve">The purpose of this step is to identify what could go wrong (likelihood) and what is the consequence (loss or damage) of it occurring. </w:t>
      </w:r>
    </w:p>
    <w:p w:rsidR="00BE0483" w:rsidRDefault="00BE0483" w:rsidP="00BE0483">
      <w:pPr>
        <w:spacing w:after="0"/>
        <w:rPr>
          <w:sz w:val="20"/>
          <w:szCs w:val="20"/>
        </w:rPr>
      </w:pPr>
      <w:r>
        <w:rPr>
          <w:sz w:val="20"/>
          <w:szCs w:val="20"/>
        </w:rPr>
        <w:t>Key questions to ask include:</w:t>
      </w:r>
    </w:p>
    <w:p w:rsidR="00BE0483" w:rsidRDefault="00BE0483" w:rsidP="00BE0483">
      <w:pPr>
        <w:numPr>
          <w:ilvl w:val="0"/>
          <w:numId w:val="2"/>
        </w:numPr>
        <w:spacing w:after="0"/>
        <w:rPr>
          <w:sz w:val="20"/>
          <w:szCs w:val="20"/>
        </w:rPr>
      </w:pPr>
      <w:r>
        <w:rPr>
          <w:sz w:val="20"/>
          <w:szCs w:val="20"/>
        </w:rPr>
        <w:t>What can happen? List risks, incidents or accidents that might happen by systematically working through each competition, activity or stage of your event to identify what might happen at each stage.</w:t>
      </w:r>
    </w:p>
    <w:p w:rsidR="00BE0483" w:rsidRDefault="00BE0483" w:rsidP="00BE0483">
      <w:pPr>
        <w:numPr>
          <w:ilvl w:val="0"/>
          <w:numId w:val="2"/>
        </w:numPr>
        <w:spacing w:after="0"/>
        <w:rPr>
          <w:sz w:val="20"/>
          <w:szCs w:val="20"/>
        </w:rPr>
      </w:pPr>
      <w:r>
        <w:rPr>
          <w:sz w:val="20"/>
          <w:szCs w:val="20"/>
        </w:rPr>
        <w:t>How and why it can happen? List the possible causes and scenarios or description of the risk, incident or accident.</w:t>
      </w:r>
    </w:p>
    <w:p w:rsidR="00BE0483" w:rsidRDefault="00BE0483" w:rsidP="00BE0483">
      <w:pPr>
        <w:numPr>
          <w:ilvl w:val="0"/>
          <w:numId w:val="2"/>
        </w:numPr>
        <w:spacing w:after="0"/>
        <w:rPr>
          <w:sz w:val="20"/>
          <w:szCs w:val="20"/>
        </w:rPr>
      </w:pPr>
      <w:r>
        <w:rPr>
          <w:sz w:val="20"/>
          <w:szCs w:val="20"/>
        </w:rPr>
        <w:t>What is the likelihood of them happening?</w:t>
      </w:r>
    </w:p>
    <w:p w:rsidR="00BE0483" w:rsidRDefault="00BE0483" w:rsidP="00BE0483">
      <w:pPr>
        <w:numPr>
          <w:ilvl w:val="0"/>
          <w:numId w:val="2"/>
        </w:numPr>
        <w:spacing w:after="120"/>
        <w:ind w:left="714" w:hanging="357"/>
        <w:rPr>
          <w:sz w:val="20"/>
          <w:szCs w:val="20"/>
        </w:rPr>
      </w:pPr>
      <w:r>
        <w:rPr>
          <w:sz w:val="20"/>
          <w:szCs w:val="20"/>
        </w:rPr>
        <w:t>What will be the consequences if they do happen?</w:t>
      </w:r>
    </w:p>
    <w:p w:rsidR="00BE0483" w:rsidRDefault="00BE0483" w:rsidP="00BE0483">
      <w:pPr>
        <w:spacing w:after="120"/>
        <w:rPr>
          <w:sz w:val="20"/>
          <w:szCs w:val="20"/>
        </w:rPr>
      </w:pPr>
      <w:r>
        <w:rPr>
          <w:sz w:val="20"/>
          <w:szCs w:val="20"/>
        </w:rPr>
        <w:t xml:space="preserve">Risks can be physical, financial, ethical or legal. </w:t>
      </w:r>
    </w:p>
    <w:p w:rsidR="00BE0483" w:rsidRDefault="00BE0483" w:rsidP="00BE0483">
      <w:pPr>
        <w:spacing w:after="120"/>
        <w:rPr>
          <w:sz w:val="20"/>
          <w:szCs w:val="20"/>
        </w:rPr>
      </w:pPr>
      <w:r>
        <w:rPr>
          <w:sz w:val="20"/>
          <w:szCs w:val="20"/>
        </w:rPr>
        <w:t>Physical risks are those involving personal injuries, environmental and weather conditions and the physical assets of the organisation such as property, buildings, equipment, vehicles, stock and grounds.</w:t>
      </w:r>
    </w:p>
    <w:p w:rsidR="00BE0483" w:rsidRDefault="00BE0483" w:rsidP="00BE0483">
      <w:pPr>
        <w:spacing w:after="120"/>
        <w:rPr>
          <w:sz w:val="20"/>
          <w:szCs w:val="20"/>
        </w:rPr>
      </w:pPr>
      <w:r>
        <w:rPr>
          <w:sz w:val="20"/>
          <w:szCs w:val="20"/>
        </w:rPr>
        <w:t>Financial risks are those that involve the assets of the organisation and include theft, fraud, loans, license fees, attendances, membership fees, insurance costs, lease payments, pay-out of damages claims or penalties and fines by the government.</w:t>
      </w:r>
    </w:p>
    <w:p w:rsidR="00BE0483" w:rsidRDefault="00BE0483" w:rsidP="00BE0483">
      <w:pPr>
        <w:spacing w:after="120"/>
        <w:rPr>
          <w:sz w:val="20"/>
          <w:szCs w:val="20"/>
        </w:rPr>
      </w:pPr>
      <w:r>
        <w:rPr>
          <w:sz w:val="20"/>
          <w:szCs w:val="20"/>
        </w:rPr>
        <w:t>Ethical risks involve actual or potential harm to the reputation or beliefs of your club, while legal risks consist of responsibilities imposed on providers, participants and consumers arising from laws made by federal, state and local government authorities.</w:t>
      </w:r>
    </w:p>
    <w:p w:rsidR="00BE0483" w:rsidRPr="00ED38FE" w:rsidRDefault="00BE0483" w:rsidP="00BE0483">
      <w:pPr>
        <w:spacing w:after="120"/>
        <w:rPr>
          <w:b/>
          <w:color w:val="4F81BD"/>
          <w:sz w:val="24"/>
          <w:szCs w:val="24"/>
        </w:rPr>
      </w:pPr>
      <w:r w:rsidRPr="00ED38FE">
        <w:rPr>
          <w:b/>
          <w:color w:val="4F81BD"/>
          <w:sz w:val="24"/>
          <w:szCs w:val="24"/>
        </w:rPr>
        <w:t>Step 3 – Analyse the risks (&amp; evaluate)</w:t>
      </w:r>
    </w:p>
    <w:p w:rsidR="00BE0483" w:rsidRDefault="00BE0483" w:rsidP="00BE0483">
      <w:pPr>
        <w:spacing w:after="120"/>
        <w:rPr>
          <w:sz w:val="20"/>
          <w:szCs w:val="20"/>
        </w:rPr>
      </w:pPr>
      <w:r>
        <w:rPr>
          <w:sz w:val="20"/>
          <w:szCs w:val="20"/>
        </w:rPr>
        <w:t xml:space="preserve">This involves analysing the likelihood and consequences of each identified risk and deciding which risk factors will potentially have the greatest effect and should, therefore, receive priority with regard to how they will be managed. The level of risk is analysed by combining estimates of likelihood (table 1) and consequences (table 2), to determine the priority level of the risk (table 3). </w:t>
      </w:r>
    </w:p>
    <w:p w:rsidR="00BE0483" w:rsidRDefault="00BE0483" w:rsidP="00BE0483">
      <w:pPr>
        <w:spacing w:after="120"/>
        <w:rPr>
          <w:sz w:val="20"/>
          <w:szCs w:val="20"/>
        </w:rPr>
      </w:pPr>
      <w:r>
        <w:rPr>
          <w:sz w:val="20"/>
          <w:szCs w:val="20"/>
        </w:rPr>
        <w:t>It is important to consider the consequences and the likelihood of risk in the context of the activity, the nature of your club and any other factors that may alter the consequences of likelihood of risk.</w:t>
      </w:r>
    </w:p>
    <w:p w:rsidR="00BE0483" w:rsidRDefault="00BE0483" w:rsidP="00BE0483">
      <w:pPr>
        <w:spacing w:after="120"/>
        <w:rPr>
          <w:sz w:val="20"/>
          <w:szCs w:val="20"/>
        </w:rPr>
      </w:pPr>
      <w:r>
        <w:rPr>
          <w:sz w:val="20"/>
          <w:szCs w:val="20"/>
        </w:rPr>
        <w:t>Risk evaluation involves comparing the level of risk found during the analysis process with previously established risk criteria, and deciding whether risks can be accepted. If the risk falls into the low or acceptable categories, they may be accepted with minimal further treatment. These risks should be monitored and periodically reviewed to ensure they remain acceptable. If risks do not fall into the low or acceptable category, they should be treated using one or more of the treatment options considered in step 4.</w:t>
      </w:r>
    </w:p>
    <w:p w:rsidR="00BE0483" w:rsidRDefault="00BE0483" w:rsidP="00BE0483">
      <w:pPr>
        <w:spacing w:after="240"/>
        <w:rPr>
          <w:sz w:val="20"/>
          <w:szCs w:val="20"/>
        </w:rPr>
      </w:pPr>
      <w:r>
        <w:rPr>
          <w:sz w:val="20"/>
          <w:szCs w:val="20"/>
        </w:rPr>
        <w:br w:type="page"/>
        <w:t>The criteria for evaluating the risks at your club are shown below:</w:t>
      </w:r>
    </w:p>
    <w:p w:rsidR="00BE0483" w:rsidRDefault="00BE0483" w:rsidP="00BE0483">
      <w:pPr>
        <w:pStyle w:val="Style2"/>
        <w:numPr>
          <w:ilvl w:val="0"/>
          <w:numId w:val="0"/>
        </w:numPr>
        <w:jc w:val="left"/>
        <w:rPr>
          <w:rFonts w:ascii="Calibri" w:hAnsi="Calibri"/>
          <w:sz w:val="22"/>
          <w:szCs w:val="22"/>
        </w:rPr>
      </w:pPr>
      <w:r w:rsidRPr="00DD0BC7">
        <w:rPr>
          <w:rFonts w:ascii="Calibri" w:hAnsi="Calibri"/>
          <w:sz w:val="22"/>
          <w:szCs w:val="22"/>
        </w:rPr>
        <w:t>Table 1– Likelihood scale</w:t>
      </w:r>
    </w:p>
    <w:p w:rsidR="00BE0483" w:rsidRDefault="00BE0483" w:rsidP="00BE0483">
      <w:pPr>
        <w:pStyle w:val="Style2"/>
        <w:numPr>
          <w:ilvl w:val="0"/>
          <w:numId w:val="0"/>
        </w:numPr>
        <w:jc w:val="left"/>
        <w:rPr>
          <w:rFonts w:ascii="Calibri" w:hAnsi="Calibri"/>
          <w:sz w:val="22"/>
          <w:szCs w:val="22"/>
        </w:rPr>
      </w:pPr>
    </w:p>
    <w:p w:rsidR="00BE0483" w:rsidRPr="00B83D23" w:rsidRDefault="00BE0483" w:rsidP="00BE0483">
      <w:pPr>
        <w:pStyle w:val="Style2"/>
        <w:numPr>
          <w:ilvl w:val="0"/>
          <w:numId w:val="0"/>
        </w:numPr>
        <w:jc w:val="left"/>
        <w:rPr>
          <w:rFonts w:ascii="Calibri" w:hAnsi="Calibri"/>
          <w:b w:val="0"/>
          <w:sz w:val="20"/>
        </w:rPr>
      </w:pPr>
      <w:r w:rsidRPr="00B83D23">
        <w:rPr>
          <w:rFonts w:ascii="Calibri" w:hAnsi="Calibri"/>
          <w:b w:val="0"/>
          <w:sz w:val="20"/>
        </w:rPr>
        <w:t>Question – what is the likelihood of the risk event occurring?</w:t>
      </w:r>
    </w:p>
    <w:p w:rsidR="00BE0483" w:rsidRPr="00DD0BC7" w:rsidRDefault="00BE0483" w:rsidP="00BE0483">
      <w:pPr>
        <w:spacing w:after="0"/>
        <w:jc w:val="both"/>
        <w:rPr>
          <w:b/>
          <w:snapToGrid w:val="0"/>
        </w:rPr>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591"/>
        <w:gridCol w:w="6915"/>
      </w:tblGrid>
      <w:tr w:rsidR="00BE0483" w:rsidRPr="00DD0BC7" w:rsidTr="000D6972">
        <w:trPr>
          <w:cantSplit/>
        </w:trPr>
        <w:tc>
          <w:tcPr>
            <w:tcW w:w="1591" w:type="dxa"/>
            <w:tcBorders>
              <w:bottom w:val="single" w:sz="4" w:space="0" w:color="auto"/>
            </w:tcBorders>
            <w:shd w:val="clear" w:color="auto" w:fill="003366"/>
            <w:vAlign w:val="center"/>
          </w:tcPr>
          <w:p w:rsidR="00BE0483" w:rsidRPr="00DD0BC7" w:rsidRDefault="00BE0483" w:rsidP="000D6972">
            <w:pPr>
              <w:spacing w:after="120"/>
              <w:jc w:val="both"/>
              <w:rPr>
                <w:b/>
                <w:color w:val="FFFFFF"/>
                <w:sz w:val="20"/>
                <w:szCs w:val="20"/>
              </w:rPr>
            </w:pPr>
            <w:r w:rsidRPr="00DD0BC7">
              <w:rPr>
                <w:b/>
                <w:color w:val="FFFFFF"/>
                <w:sz w:val="20"/>
                <w:szCs w:val="20"/>
              </w:rPr>
              <w:t>Rating</w:t>
            </w:r>
          </w:p>
        </w:tc>
        <w:tc>
          <w:tcPr>
            <w:tcW w:w="6915" w:type="dxa"/>
            <w:shd w:val="clear" w:color="auto" w:fill="003366"/>
            <w:vAlign w:val="center"/>
          </w:tcPr>
          <w:p w:rsidR="00BE0483" w:rsidRPr="00DD0BC7" w:rsidRDefault="00BE0483" w:rsidP="000D6972">
            <w:pPr>
              <w:spacing w:after="120"/>
              <w:rPr>
                <w:b/>
                <w:color w:val="FFFFFF"/>
                <w:sz w:val="20"/>
                <w:szCs w:val="20"/>
              </w:rPr>
            </w:pPr>
            <w:r w:rsidRPr="00DD0BC7">
              <w:rPr>
                <w:b/>
                <w:color w:val="FFFFFF"/>
                <w:sz w:val="20"/>
                <w:szCs w:val="20"/>
              </w:rPr>
              <w:t>LIKELIHOOD</w:t>
            </w:r>
          </w:p>
          <w:p w:rsidR="00BE0483" w:rsidRPr="00DD0BC7" w:rsidRDefault="00BE0483" w:rsidP="000D6972">
            <w:pPr>
              <w:spacing w:after="120"/>
              <w:rPr>
                <w:color w:val="FFFFFF"/>
                <w:sz w:val="20"/>
                <w:szCs w:val="20"/>
              </w:rPr>
            </w:pPr>
            <w:r w:rsidRPr="00DD0BC7">
              <w:rPr>
                <w:color w:val="FFFFFF"/>
                <w:sz w:val="20"/>
                <w:szCs w:val="20"/>
              </w:rPr>
              <w:t>The potential for problems to occur in a year</w:t>
            </w:r>
          </w:p>
        </w:tc>
      </w:tr>
      <w:tr w:rsidR="00BE0483" w:rsidRPr="00DD0BC7" w:rsidTr="000D6972">
        <w:trPr>
          <w:cantSplit/>
        </w:trPr>
        <w:tc>
          <w:tcPr>
            <w:tcW w:w="1591" w:type="dxa"/>
            <w:shd w:val="clear" w:color="auto" w:fill="CCECFF"/>
          </w:tcPr>
          <w:p w:rsidR="00BE0483" w:rsidRPr="00DD0BC7" w:rsidRDefault="00BE0483" w:rsidP="000D6972">
            <w:pPr>
              <w:numPr>
                <w:ilvl w:val="12"/>
                <w:numId w:val="0"/>
              </w:numPr>
              <w:spacing w:after="120"/>
              <w:jc w:val="both"/>
              <w:rPr>
                <w:b/>
                <w:sz w:val="20"/>
                <w:szCs w:val="20"/>
              </w:rPr>
            </w:pPr>
            <w:r w:rsidRPr="00DD0BC7">
              <w:rPr>
                <w:b/>
                <w:sz w:val="20"/>
                <w:szCs w:val="20"/>
              </w:rPr>
              <w:t>5</w:t>
            </w:r>
          </w:p>
        </w:tc>
        <w:tc>
          <w:tcPr>
            <w:tcW w:w="6915" w:type="dxa"/>
          </w:tcPr>
          <w:p w:rsidR="00BE0483" w:rsidRPr="00DD0BC7" w:rsidRDefault="00BE0483" w:rsidP="000D6972">
            <w:pPr>
              <w:numPr>
                <w:ilvl w:val="12"/>
                <w:numId w:val="0"/>
              </w:numPr>
              <w:spacing w:after="120"/>
              <w:rPr>
                <w:sz w:val="20"/>
                <w:szCs w:val="20"/>
              </w:rPr>
            </w:pPr>
            <w:r w:rsidRPr="00DD0BC7">
              <w:rPr>
                <w:b/>
                <w:sz w:val="20"/>
                <w:szCs w:val="20"/>
              </w:rPr>
              <w:t>ALMOST CERTAIN:</w:t>
            </w:r>
            <w:r w:rsidRPr="00DD0BC7">
              <w:rPr>
                <w:sz w:val="20"/>
                <w:szCs w:val="20"/>
              </w:rPr>
              <w:t xml:space="preserve"> will probably occur, could occur several times per year</w:t>
            </w:r>
          </w:p>
        </w:tc>
      </w:tr>
      <w:tr w:rsidR="00BE0483" w:rsidRPr="00DD0BC7" w:rsidTr="000D6972">
        <w:trPr>
          <w:cantSplit/>
        </w:trPr>
        <w:tc>
          <w:tcPr>
            <w:tcW w:w="1591" w:type="dxa"/>
            <w:shd w:val="clear" w:color="auto" w:fill="CCECFF"/>
          </w:tcPr>
          <w:p w:rsidR="00BE0483" w:rsidRPr="00DD0BC7" w:rsidRDefault="00BE0483" w:rsidP="000D6972">
            <w:pPr>
              <w:numPr>
                <w:ilvl w:val="12"/>
                <w:numId w:val="0"/>
              </w:numPr>
              <w:spacing w:after="120"/>
              <w:jc w:val="both"/>
              <w:rPr>
                <w:b/>
                <w:sz w:val="20"/>
                <w:szCs w:val="20"/>
              </w:rPr>
            </w:pPr>
            <w:r w:rsidRPr="00DD0BC7">
              <w:rPr>
                <w:b/>
                <w:sz w:val="20"/>
                <w:szCs w:val="20"/>
              </w:rPr>
              <w:t>4</w:t>
            </w:r>
          </w:p>
        </w:tc>
        <w:tc>
          <w:tcPr>
            <w:tcW w:w="6915" w:type="dxa"/>
          </w:tcPr>
          <w:p w:rsidR="00BE0483" w:rsidRPr="00DD0BC7" w:rsidRDefault="00BE0483" w:rsidP="000D6972">
            <w:pPr>
              <w:numPr>
                <w:ilvl w:val="12"/>
                <w:numId w:val="0"/>
              </w:numPr>
              <w:spacing w:after="120"/>
              <w:rPr>
                <w:sz w:val="20"/>
                <w:szCs w:val="20"/>
              </w:rPr>
            </w:pPr>
            <w:r w:rsidRPr="00DD0BC7">
              <w:rPr>
                <w:b/>
                <w:sz w:val="20"/>
                <w:szCs w:val="20"/>
              </w:rPr>
              <w:t>LIKELY</w:t>
            </w:r>
            <w:r w:rsidRPr="00DD0BC7">
              <w:rPr>
                <w:sz w:val="20"/>
                <w:szCs w:val="20"/>
              </w:rPr>
              <w:t>: high probability, likely to arise once per year</w:t>
            </w:r>
          </w:p>
        </w:tc>
      </w:tr>
      <w:tr w:rsidR="00BE0483" w:rsidRPr="00DD0BC7" w:rsidTr="000D6972">
        <w:trPr>
          <w:cantSplit/>
        </w:trPr>
        <w:tc>
          <w:tcPr>
            <w:tcW w:w="1591" w:type="dxa"/>
            <w:shd w:val="clear" w:color="auto" w:fill="CCECFF"/>
          </w:tcPr>
          <w:p w:rsidR="00BE0483" w:rsidRPr="00DD0BC7" w:rsidRDefault="00BE0483" w:rsidP="000D6972">
            <w:pPr>
              <w:numPr>
                <w:ilvl w:val="12"/>
                <w:numId w:val="0"/>
              </w:numPr>
              <w:spacing w:after="120"/>
              <w:jc w:val="both"/>
              <w:rPr>
                <w:b/>
                <w:sz w:val="20"/>
                <w:szCs w:val="20"/>
              </w:rPr>
            </w:pPr>
            <w:r w:rsidRPr="00DD0BC7">
              <w:rPr>
                <w:b/>
                <w:sz w:val="20"/>
                <w:szCs w:val="20"/>
              </w:rPr>
              <w:t>3</w:t>
            </w:r>
          </w:p>
        </w:tc>
        <w:tc>
          <w:tcPr>
            <w:tcW w:w="6915" w:type="dxa"/>
          </w:tcPr>
          <w:p w:rsidR="00BE0483" w:rsidRPr="00DD0BC7" w:rsidRDefault="00BE0483" w:rsidP="000D6972">
            <w:pPr>
              <w:numPr>
                <w:ilvl w:val="12"/>
                <w:numId w:val="0"/>
              </w:numPr>
              <w:spacing w:after="120"/>
              <w:rPr>
                <w:sz w:val="20"/>
                <w:szCs w:val="20"/>
              </w:rPr>
            </w:pPr>
            <w:r w:rsidRPr="00DD0BC7">
              <w:rPr>
                <w:b/>
                <w:sz w:val="20"/>
                <w:szCs w:val="20"/>
              </w:rPr>
              <w:t>POSSIBLE</w:t>
            </w:r>
            <w:r w:rsidRPr="00DD0BC7">
              <w:rPr>
                <w:sz w:val="20"/>
                <w:szCs w:val="20"/>
              </w:rPr>
              <w:t>: reasonable likelihood that it may arise over a five-year period</w:t>
            </w:r>
          </w:p>
        </w:tc>
      </w:tr>
      <w:tr w:rsidR="00BE0483" w:rsidRPr="00DD0BC7" w:rsidTr="000D6972">
        <w:trPr>
          <w:cantSplit/>
        </w:trPr>
        <w:tc>
          <w:tcPr>
            <w:tcW w:w="1591" w:type="dxa"/>
            <w:shd w:val="clear" w:color="auto" w:fill="CCECFF"/>
          </w:tcPr>
          <w:p w:rsidR="00BE0483" w:rsidRPr="00DD0BC7" w:rsidRDefault="00BE0483" w:rsidP="000D6972">
            <w:pPr>
              <w:numPr>
                <w:ilvl w:val="12"/>
                <w:numId w:val="0"/>
              </w:numPr>
              <w:spacing w:after="120"/>
              <w:jc w:val="both"/>
              <w:rPr>
                <w:b/>
                <w:sz w:val="20"/>
                <w:szCs w:val="20"/>
              </w:rPr>
            </w:pPr>
            <w:r w:rsidRPr="00DD0BC7">
              <w:rPr>
                <w:b/>
                <w:sz w:val="20"/>
                <w:szCs w:val="20"/>
              </w:rPr>
              <w:t>2</w:t>
            </w:r>
          </w:p>
        </w:tc>
        <w:tc>
          <w:tcPr>
            <w:tcW w:w="6915" w:type="dxa"/>
          </w:tcPr>
          <w:p w:rsidR="00BE0483" w:rsidRPr="00DD0BC7" w:rsidRDefault="00BE0483" w:rsidP="000D6972">
            <w:pPr>
              <w:numPr>
                <w:ilvl w:val="12"/>
                <w:numId w:val="0"/>
              </w:numPr>
              <w:spacing w:after="120"/>
              <w:rPr>
                <w:sz w:val="20"/>
                <w:szCs w:val="20"/>
              </w:rPr>
            </w:pPr>
            <w:r w:rsidRPr="00DD0BC7">
              <w:rPr>
                <w:b/>
                <w:sz w:val="20"/>
                <w:szCs w:val="20"/>
              </w:rPr>
              <w:t>UNLIKELY</w:t>
            </w:r>
            <w:r w:rsidRPr="00DD0BC7">
              <w:rPr>
                <w:sz w:val="20"/>
                <w:szCs w:val="20"/>
              </w:rPr>
              <w:t>: plausible, could occur over a five to ten year period</w:t>
            </w:r>
          </w:p>
        </w:tc>
      </w:tr>
      <w:tr w:rsidR="00BE0483" w:rsidRPr="00DD0BC7" w:rsidTr="000D6972">
        <w:trPr>
          <w:cantSplit/>
        </w:trPr>
        <w:tc>
          <w:tcPr>
            <w:tcW w:w="1591" w:type="dxa"/>
            <w:shd w:val="clear" w:color="auto" w:fill="CCECFF"/>
          </w:tcPr>
          <w:p w:rsidR="00BE0483" w:rsidRPr="00DD0BC7" w:rsidRDefault="00BE0483" w:rsidP="000D6972">
            <w:pPr>
              <w:numPr>
                <w:ilvl w:val="12"/>
                <w:numId w:val="0"/>
              </w:numPr>
              <w:spacing w:after="120"/>
              <w:jc w:val="both"/>
              <w:rPr>
                <w:b/>
                <w:sz w:val="20"/>
                <w:szCs w:val="20"/>
              </w:rPr>
            </w:pPr>
            <w:r w:rsidRPr="00DD0BC7">
              <w:rPr>
                <w:b/>
                <w:sz w:val="20"/>
                <w:szCs w:val="20"/>
              </w:rPr>
              <w:t>1</w:t>
            </w:r>
          </w:p>
        </w:tc>
        <w:tc>
          <w:tcPr>
            <w:tcW w:w="6915" w:type="dxa"/>
          </w:tcPr>
          <w:p w:rsidR="00BE0483" w:rsidRPr="00DD0BC7" w:rsidRDefault="00BE0483" w:rsidP="000D6972">
            <w:pPr>
              <w:numPr>
                <w:ilvl w:val="12"/>
                <w:numId w:val="0"/>
              </w:numPr>
              <w:spacing w:after="120"/>
              <w:rPr>
                <w:sz w:val="20"/>
                <w:szCs w:val="20"/>
              </w:rPr>
            </w:pPr>
            <w:smartTag w:uri="urn:schemas-microsoft-com:office:smarttags" w:element="stockticker">
              <w:r w:rsidRPr="00DD0BC7">
                <w:rPr>
                  <w:b/>
                  <w:sz w:val="20"/>
                  <w:szCs w:val="20"/>
                </w:rPr>
                <w:t>RARE</w:t>
              </w:r>
            </w:smartTag>
            <w:r w:rsidRPr="00DD0BC7">
              <w:rPr>
                <w:sz w:val="20"/>
                <w:szCs w:val="20"/>
              </w:rPr>
              <w:t>: very unlikely but not impossible, unlikely over a ten year period</w:t>
            </w:r>
          </w:p>
        </w:tc>
      </w:tr>
    </w:tbl>
    <w:p w:rsidR="00BE0483" w:rsidRPr="00DD0BC7" w:rsidRDefault="00BE0483" w:rsidP="00BE0483">
      <w:pPr>
        <w:tabs>
          <w:tab w:val="left" w:pos="142"/>
        </w:tabs>
        <w:spacing w:after="0"/>
        <w:rPr>
          <w:snapToGrid w:val="0"/>
        </w:rPr>
      </w:pPr>
    </w:p>
    <w:p w:rsidR="00BE0483" w:rsidRDefault="00BE0483" w:rsidP="00BE0483">
      <w:pPr>
        <w:pStyle w:val="Style2"/>
        <w:numPr>
          <w:ilvl w:val="0"/>
          <w:numId w:val="0"/>
        </w:numPr>
        <w:jc w:val="left"/>
        <w:rPr>
          <w:rFonts w:ascii="Calibri" w:hAnsi="Calibri"/>
          <w:sz w:val="22"/>
          <w:szCs w:val="22"/>
        </w:rPr>
      </w:pPr>
      <w:r w:rsidRPr="00B83D23">
        <w:rPr>
          <w:rFonts w:ascii="Calibri" w:hAnsi="Calibri"/>
          <w:sz w:val="22"/>
          <w:szCs w:val="22"/>
        </w:rPr>
        <w:t xml:space="preserve">Table </w:t>
      </w:r>
      <w:r>
        <w:rPr>
          <w:rFonts w:ascii="Calibri" w:hAnsi="Calibri"/>
          <w:sz w:val="22"/>
          <w:szCs w:val="22"/>
        </w:rPr>
        <w:t>2</w:t>
      </w:r>
      <w:r w:rsidRPr="00B83D23">
        <w:rPr>
          <w:rFonts w:ascii="Calibri" w:hAnsi="Calibri"/>
          <w:sz w:val="22"/>
          <w:szCs w:val="22"/>
        </w:rPr>
        <w:t xml:space="preserve"> – Loss or damage impact scale</w:t>
      </w:r>
    </w:p>
    <w:p w:rsidR="00BE0483" w:rsidRPr="00B83D23" w:rsidRDefault="00BE0483" w:rsidP="00BE0483">
      <w:pPr>
        <w:pStyle w:val="Style2"/>
        <w:numPr>
          <w:ilvl w:val="0"/>
          <w:numId w:val="0"/>
        </w:numPr>
        <w:jc w:val="left"/>
        <w:rPr>
          <w:rFonts w:ascii="Calibri" w:hAnsi="Calibri"/>
          <w:sz w:val="22"/>
          <w:szCs w:val="22"/>
        </w:rPr>
      </w:pPr>
    </w:p>
    <w:p w:rsidR="00BE0483" w:rsidRPr="00DD0BC7" w:rsidRDefault="00BE0483" w:rsidP="00BE0483">
      <w:pPr>
        <w:spacing w:after="0"/>
        <w:outlineLvl w:val="0"/>
      </w:pPr>
      <w:r w:rsidRPr="00B83D23">
        <w:rPr>
          <w:b/>
          <w:sz w:val="20"/>
          <w:szCs w:val="20"/>
        </w:rPr>
        <w:t xml:space="preserve">Question: </w:t>
      </w:r>
      <w:r w:rsidRPr="00B83D23">
        <w:rPr>
          <w:sz w:val="20"/>
          <w:szCs w:val="20"/>
        </w:rPr>
        <w:t xml:space="preserve">what is the </w:t>
      </w:r>
      <w:r w:rsidRPr="00B83D23">
        <w:rPr>
          <w:b/>
          <w:sz w:val="20"/>
          <w:szCs w:val="20"/>
        </w:rPr>
        <w:t>loss or damage impact</w:t>
      </w:r>
      <w:r w:rsidRPr="00B83D23">
        <w:rPr>
          <w:sz w:val="20"/>
          <w:szCs w:val="20"/>
        </w:rPr>
        <w:t xml:space="preserve"> if the risk event occurred </w:t>
      </w:r>
      <w:r w:rsidRPr="00B83D23">
        <w:rPr>
          <w:b/>
          <w:sz w:val="20"/>
          <w:szCs w:val="20"/>
        </w:rPr>
        <w:t xml:space="preserve">(severity?) </w:t>
      </w:r>
    </w:p>
    <w:p w:rsidR="00BE0483" w:rsidRPr="00DD0BC7" w:rsidRDefault="00BE0483" w:rsidP="00BE0483">
      <w:pPr>
        <w:spacing w:after="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92"/>
        <w:gridCol w:w="6803"/>
      </w:tblGrid>
      <w:tr w:rsidR="00BE0483" w:rsidRPr="00B83D23" w:rsidTr="000D6972">
        <w:trPr>
          <w:cantSplit/>
          <w:tblHeader/>
        </w:trPr>
        <w:tc>
          <w:tcPr>
            <w:tcW w:w="1692" w:type="dxa"/>
            <w:tcBorders>
              <w:bottom w:val="single" w:sz="4" w:space="0" w:color="auto"/>
            </w:tcBorders>
            <w:shd w:val="clear" w:color="auto" w:fill="003366"/>
            <w:vAlign w:val="center"/>
          </w:tcPr>
          <w:p w:rsidR="00BE0483" w:rsidRPr="00B83D23" w:rsidRDefault="00BE0483" w:rsidP="000D6972">
            <w:pPr>
              <w:numPr>
                <w:ilvl w:val="12"/>
                <w:numId w:val="0"/>
              </w:numPr>
              <w:spacing w:after="120"/>
              <w:jc w:val="both"/>
              <w:rPr>
                <w:color w:val="FFFFFF"/>
                <w:sz w:val="20"/>
                <w:szCs w:val="20"/>
              </w:rPr>
            </w:pPr>
            <w:r w:rsidRPr="00B83D23">
              <w:rPr>
                <w:b/>
                <w:color w:val="FFFFFF"/>
                <w:sz w:val="20"/>
                <w:szCs w:val="20"/>
              </w:rPr>
              <w:t>Rating</w:t>
            </w:r>
          </w:p>
        </w:tc>
        <w:tc>
          <w:tcPr>
            <w:tcW w:w="6803" w:type="dxa"/>
            <w:shd w:val="clear" w:color="auto" w:fill="003366"/>
            <w:vAlign w:val="center"/>
          </w:tcPr>
          <w:p w:rsidR="00BE0483" w:rsidRPr="00B83D23" w:rsidRDefault="00BE0483" w:rsidP="000D6972">
            <w:pPr>
              <w:numPr>
                <w:ilvl w:val="12"/>
                <w:numId w:val="0"/>
              </w:numPr>
              <w:spacing w:after="120"/>
              <w:rPr>
                <w:color w:val="FFFFFF"/>
                <w:sz w:val="20"/>
                <w:szCs w:val="20"/>
              </w:rPr>
            </w:pPr>
            <w:r w:rsidRPr="00B83D23">
              <w:rPr>
                <w:b/>
                <w:color w:val="FFFFFF"/>
                <w:sz w:val="20"/>
                <w:szCs w:val="20"/>
              </w:rPr>
              <w:t>POTENTIAL IMPACT</w:t>
            </w:r>
          </w:p>
          <w:p w:rsidR="00BE0483" w:rsidRPr="00B83D23" w:rsidRDefault="00BE0483" w:rsidP="000D6972">
            <w:pPr>
              <w:numPr>
                <w:ilvl w:val="12"/>
                <w:numId w:val="0"/>
              </w:numPr>
              <w:spacing w:after="120"/>
              <w:rPr>
                <w:color w:val="FFFFFF"/>
                <w:sz w:val="20"/>
                <w:szCs w:val="20"/>
              </w:rPr>
            </w:pPr>
            <w:r w:rsidRPr="00B83D23">
              <w:rPr>
                <w:color w:val="FFFFFF"/>
                <w:sz w:val="20"/>
                <w:szCs w:val="20"/>
              </w:rPr>
              <w:t>In terms of the objectives of the club</w:t>
            </w:r>
          </w:p>
        </w:tc>
      </w:tr>
      <w:tr w:rsidR="00BE0483" w:rsidRPr="00B83D23" w:rsidTr="000D6972">
        <w:trPr>
          <w:cantSplit/>
        </w:trPr>
        <w:tc>
          <w:tcPr>
            <w:tcW w:w="1692" w:type="dxa"/>
            <w:shd w:val="clear" w:color="auto" w:fill="CCECFF"/>
          </w:tcPr>
          <w:p w:rsidR="00BE0483" w:rsidRPr="00B83D23" w:rsidRDefault="00BE0483" w:rsidP="000D6972">
            <w:pPr>
              <w:numPr>
                <w:ilvl w:val="12"/>
                <w:numId w:val="0"/>
              </w:numPr>
              <w:spacing w:after="120"/>
              <w:jc w:val="both"/>
              <w:rPr>
                <w:b/>
                <w:sz w:val="20"/>
                <w:szCs w:val="20"/>
              </w:rPr>
            </w:pPr>
            <w:r w:rsidRPr="00B83D23">
              <w:rPr>
                <w:b/>
                <w:sz w:val="20"/>
                <w:szCs w:val="20"/>
              </w:rPr>
              <w:t>5</w:t>
            </w:r>
          </w:p>
        </w:tc>
        <w:tc>
          <w:tcPr>
            <w:tcW w:w="6803" w:type="dxa"/>
          </w:tcPr>
          <w:p w:rsidR="00BE0483" w:rsidRPr="00B83D23" w:rsidRDefault="00BE0483" w:rsidP="000D6972">
            <w:pPr>
              <w:numPr>
                <w:ilvl w:val="12"/>
                <w:numId w:val="0"/>
              </w:numPr>
              <w:spacing w:after="120"/>
              <w:rPr>
                <w:sz w:val="20"/>
                <w:szCs w:val="20"/>
              </w:rPr>
            </w:pPr>
            <w:r w:rsidRPr="00B83D23">
              <w:rPr>
                <w:b/>
                <w:sz w:val="20"/>
                <w:szCs w:val="20"/>
              </w:rPr>
              <w:t>CATASTROPHIC</w:t>
            </w:r>
            <w:r w:rsidRPr="00B83D23">
              <w:rPr>
                <w:sz w:val="20"/>
                <w:szCs w:val="20"/>
              </w:rPr>
              <w:t>:  most objectives may not be achieved, or several severely affected</w:t>
            </w:r>
          </w:p>
        </w:tc>
      </w:tr>
      <w:tr w:rsidR="00BE0483" w:rsidRPr="00B83D23" w:rsidTr="000D6972">
        <w:trPr>
          <w:cantSplit/>
        </w:trPr>
        <w:tc>
          <w:tcPr>
            <w:tcW w:w="1692" w:type="dxa"/>
            <w:shd w:val="clear" w:color="auto" w:fill="CCECFF"/>
          </w:tcPr>
          <w:p w:rsidR="00BE0483" w:rsidRPr="00B83D23" w:rsidRDefault="00BE0483" w:rsidP="000D6972">
            <w:pPr>
              <w:numPr>
                <w:ilvl w:val="12"/>
                <w:numId w:val="0"/>
              </w:numPr>
              <w:spacing w:after="120"/>
              <w:jc w:val="both"/>
              <w:rPr>
                <w:b/>
                <w:sz w:val="20"/>
                <w:szCs w:val="20"/>
              </w:rPr>
            </w:pPr>
            <w:r w:rsidRPr="00B83D23">
              <w:rPr>
                <w:b/>
                <w:sz w:val="20"/>
                <w:szCs w:val="20"/>
              </w:rPr>
              <w:t>4</w:t>
            </w:r>
          </w:p>
        </w:tc>
        <w:tc>
          <w:tcPr>
            <w:tcW w:w="6803" w:type="dxa"/>
          </w:tcPr>
          <w:p w:rsidR="00BE0483" w:rsidRPr="00B83D23" w:rsidRDefault="00BE0483" w:rsidP="000D6972">
            <w:pPr>
              <w:numPr>
                <w:ilvl w:val="12"/>
                <w:numId w:val="0"/>
              </w:numPr>
              <w:spacing w:after="120"/>
              <w:rPr>
                <w:sz w:val="20"/>
                <w:szCs w:val="20"/>
              </w:rPr>
            </w:pPr>
            <w:r w:rsidRPr="00B83D23">
              <w:rPr>
                <w:b/>
                <w:sz w:val="20"/>
                <w:szCs w:val="20"/>
              </w:rPr>
              <w:t>MAJOR</w:t>
            </w:r>
            <w:r w:rsidRPr="00B83D23">
              <w:rPr>
                <w:sz w:val="20"/>
                <w:szCs w:val="20"/>
              </w:rPr>
              <w:t>:  most objectives threatened, or one severely affected</w:t>
            </w:r>
          </w:p>
        </w:tc>
      </w:tr>
      <w:tr w:rsidR="00BE0483" w:rsidRPr="00B83D23" w:rsidTr="000D6972">
        <w:trPr>
          <w:cantSplit/>
        </w:trPr>
        <w:tc>
          <w:tcPr>
            <w:tcW w:w="1692" w:type="dxa"/>
            <w:shd w:val="clear" w:color="auto" w:fill="CCECFF"/>
          </w:tcPr>
          <w:p w:rsidR="00BE0483" w:rsidRPr="00B83D23" w:rsidRDefault="00BE0483" w:rsidP="000D6972">
            <w:pPr>
              <w:numPr>
                <w:ilvl w:val="12"/>
                <w:numId w:val="0"/>
              </w:numPr>
              <w:spacing w:after="120"/>
              <w:jc w:val="both"/>
              <w:rPr>
                <w:b/>
                <w:sz w:val="20"/>
                <w:szCs w:val="20"/>
              </w:rPr>
            </w:pPr>
            <w:r w:rsidRPr="00B83D23">
              <w:rPr>
                <w:b/>
                <w:sz w:val="20"/>
                <w:szCs w:val="20"/>
              </w:rPr>
              <w:t>3</w:t>
            </w:r>
          </w:p>
        </w:tc>
        <w:tc>
          <w:tcPr>
            <w:tcW w:w="6803" w:type="dxa"/>
          </w:tcPr>
          <w:p w:rsidR="00BE0483" w:rsidRPr="00B83D23" w:rsidRDefault="00BE0483" w:rsidP="000D6972">
            <w:pPr>
              <w:numPr>
                <w:ilvl w:val="12"/>
                <w:numId w:val="0"/>
              </w:numPr>
              <w:spacing w:after="120"/>
              <w:rPr>
                <w:sz w:val="20"/>
                <w:szCs w:val="20"/>
              </w:rPr>
            </w:pPr>
            <w:r w:rsidRPr="00B83D23">
              <w:rPr>
                <w:b/>
                <w:sz w:val="20"/>
                <w:szCs w:val="20"/>
              </w:rPr>
              <w:t>MODERATE:</w:t>
            </w:r>
            <w:r w:rsidRPr="00B83D23">
              <w:rPr>
                <w:sz w:val="20"/>
                <w:szCs w:val="20"/>
              </w:rPr>
              <w:t xml:space="preserve">  some objectives affected, considerable effort to rectify i.e. sport injury – requires medical attention and has some impact on participation in sport and/or other activity</w:t>
            </w:r>
          </w:p>
        </w:tc>
      </w:tr>
      <w:tr w:rsidR="00BE0483" w:rsidRPr="00B83D23" w:rsidTr="000D6972">
        <w:trPr>
          <w:cantSplit/>
        </w:trPr>
        <w:tc>
          <w:tcPr>
            <w:tcW w:w="1692" w:type="dxa"/>
            <w:shd w:val="clear" w:color="auto" w:fill="CCECFF"/>
          </w:tcPr>
          <w:p w:rsidR="00BE0483" w:rsidRPr="00B83D23" w:rsidRDefault="00BE0483" w:rsidP="000D6972">
            <w:pPr>
              <w:numPr>
                <w:ilvl w:val="12"/>
                <w:numId w:val="0"/>
              </w:numPr>
              <w:spacing w:after="120"/>
              <w:jc w:val="both"/>
              <w:rPr>
                <w:b/>
                <w:sz w:val="20"/>
                <w:szCs w:val="20"/>
              </w:rPr>
            </w:pPr>
            <w:r w:rsidRPr="00B83D23">
              <w:rPr>
                <w:b/>
                <w:sz w:val="20"/>
                <w:szCs w:val="20"/>
              </w:rPr>
              <w:t>2</w:t>
            </w:r>
          </w:p>
        </w:tc>
        <w:tc>
          <w:tcPr>
            <w:tcW w:w="6803" w:type="dxa"/>
          </w:tcPr>
          <w:p w:rsidR="00BE0483" w:rsidRPr="00B83D23" w:rsidRDefault="00BE0483" w:rsidP="000D6972">
            <w:pPr>
              <w:numPr>
                <w:ilvl w:val="12"/>
                <w:numId w:val="0"/>
              </w:numPr>
              <w:spacing w:after="120"/>
              <w:rPr>
                <w:sz w:val="20"/>
                <w:szCs w:val="20"/>
              </w:rPr>
            </w:pPr>
            <w:r w:rsidRPr="00B83D23">
              <w:rPr>
                <w:b/>
                <w:sz w:val="20"/>
                <w:szCs w:val="20"/>
              </w:rPr>
              <w:t>MINOR:</w:t>
            </w:r>
            <w:r w:rsidRPr="00B83D23">
              <w:rPr>
                <w:sz w:val="20"/>
                <w:szCs w:val="20"/>
              </w:rPr>
              <w:t xml:space="preserve">  easily remedied, with some effort the objectives can be achieved i.e. sport injury requires first aid treatment and prevents immediate participation in sport and/or other activity</w:t>
            </w:r>
          </w:p>
        </w:tc>
      </w:tr>
      <w:tr w:rsidR="00BE0483" w:rsidRPr="00B83D23" w:rsidTr="000D6972">
        <w:trPr>
          <w:cantSplit/>
        </w:trPr>
        <w:tc>
          <w:tcPr>
            <w:tcW w:w="1692" w:type="dxa"/>
            <w:shd w:val="clear" w:color="auto" w:fill="CCECFF"/>
          </w:tcPr>
          <w:p w:rsidR="00BE0483" w:rsidRPr="00B83D23" w:rsidRDefault="00BE0483" w:rsidP="000D6972">
            <w:pPr>
              <w:numPr>
                <w:ilvl w:val="12"/>
                <w:numId w:val="0"/>
              </w:numPr>
              <w:spacing w:after="120"/>
              <w:jc w:val="both"/>
              <w:rPr>
                <w:b/>
                <w:sz w:val="20"/>
                <w:szCs w:val="20"/>
              </w:rPr>
            </w:pPr>
            <w:r w:rsidRPr="00B83D23">
              <w:rPr>
                <w:b/>
                <w:sz w:val="20"/>
                <w:szCs w:val="20"/>
              </w:rPr>
              <w:t>1</w:t>
            </w:r>
          </w:p>
        </w:tc>
        <w:tc>
          <w:tcPr>
            <w:tcW w:w="6803" w:type="dxa"/>
          </w:tcPr>
          <w:p w:rsidR="00BE0483" w:rsidRPr="00B83D23" w:rsidRDefault="00BE0483" w:rsidP="000D6972">
            <w:pPr>
              <w:numPr>
                <w:ilvl w:val="12"/>
                <w:numId w:val="0"/>
              </w:numPr>
              <w:spacing w:after="120"/>
              <w:rPr>
                <w:sz w:val="20"/>
                <w:szCs w:val="20"/>
              </w:rPr>
            </w:pPr>
            <w:r w:rsidRPr="00B83D23">
              <w:rPr>
                <w:b/>
                <w:sz w:val="20"/>
                <w:szCs w:val="20"/>
              </w:rPr>
              <w:t>NEGLIGIBLE:</w:t>
            </w:r>
            <w:r w:rsidRPr="00B83D23">
              <w:rPr>
                <w:sz w:val="20"/>
                <w:szCs w:val="20"/>
              </w:rPr>
              <w:t xml:space="preserve">  very small impact, rectified by normal processes</w:t>
            </w:r>
          </w:p>
          <w:p w:rsidR="00BE0483" w:rsidRPr="00B83D23" w:rsidRDefault="00BE0483" w:rsidP="000D6972">
            <w:pPr>
              <w:numPr>
                <w:ilvl w:val="12"/>
                <w:numId w:val="0"/>
              </w:numPr>
              <w:spacing w:after="120"/>
              <w:rPr>
                <w:sz w:val="20"/>
                <w:szCs w:val="20"/>
              </w:rPr>
            </w:pPr>
            <w:r w:rsidRPr="00B83D23">
              <w:rPr>
                <w:sz w:val="20"/>
                <w:szCs w:val="20"/>
              </w:rPr>
              <w:t>i.e. sport injury but does not prevent participation</w:t>
            </w:r>
          </w:p>
        </w:tc>
      </w:tr>
    </w:tbl>
    <w:p w:rsidR="00BE0483" w:rsidRPr="00DD0BC7" w:rsidRDefault="00BE0483" w:rsidP="00BE0483">
      <w:pPr>
        <w:spacing w:after="0"/>
        <w:jc w:val="both"/>
      </w:pPr>
    </w:p>
    <w:p w:rsidR="00BE0483" w:rsidRPr="00DD0BC7" w:rsidRDefault="00BE0483" w:rsidP="00BE0483">
      <w:pPr>
        <w:spacing w:after="120"/>
        <w:jc w:val="both"/>
        <w:rPr>
          <w:b/>
        </w:rPr>
      </w:pPr>
      <w:r w:rsidRPr="00DD0BC7">
        <w:rPr>
          <w:b/>
        </w:rPr>
        <w:t>Risk priority</w:t>
      </w:r>
    </w:p>
    <w:p w:rsidR="00BE0483" w:rsidRPr="00B83D23" w:rsidRDefault="00BE0483" w:rsidP="00BE0483">
      <w:pPr>
        <w:spacing w:after="0"/>
        <w:jc w:val="both"/>
        <w:rPr>
          <w:sz w:val="20"/>
          <w:szCs w:val="20"/>
        </w:rPr>
      </w:pPr>
      <w:r w:rsidRPr="00B83D23">
        <w:rPr>
          <w:sz w:val="20"/>
          <w:szCs w:val="20"/>
        </w:rPr>
        <w:t xml:space="preserve">The </w:t>
      </w:r>
      <w:r w:rsidRPr="00B83D23">
        <w:rPr>
          <w:b/>
          <w:sz w:val="20"/>
          <w:szCs w:val="20"/>
        </w:rPr>
        <w:t xml:space="preserve">risk priority scale </w:t>
      </w:r>
      <w:r w:rsidRPr="00B83D23">
        <w:rPr>
          <w:sz w:val="20"/>
          <w:szCs w:val="20"/>
        </w:rPr>
        <w:t>determines the nature of the risk and the action required.  They are indicators to assist in the decision making of what action is warranted for the risks.</w:t>
      </w:r>
    </w:p>
    <w:p w:rsidR="00BE0483" w:rsidRPr="00B83D23" w:rsidRDefault="00BE0483" w:rsidP="00BE0483">
      <w:pPr>
        <w:pStyle w:val="Style2"/>
        <w:numPr>
          <w:ilvl w:val="0"/>
          <w:numId w:val="0"/>
        </w:numPr>
        <w:jc w:val="left"/>
        <w:rPr>
          <w:rFonts w:ascii="Calibri" w:hAnsi="Calibri"/>
          <w:sz w:val="20"/>
        </w:rPr>
      </w:pPr>
    </w:p>
    <w:p w:rsidR="00BE0483" w:rsidRPr="00B83D23" w:rsidRDefault="00BE0483" w:rsidP="00BE0483">
      <w:pPr>
        <w:pStyle w:val="Style2"/>
        <w:numPr>
          <w:ilvl w:val="0"/>
          <w:numId w:val="0"/>
        </w:numPr>
        <w:jc w:val="left"/>
        <w:rPr>
          <w:rFonts w:ascii="Calibri" w:hAnsi="Calibri"/>
          <w:b w:val="0"/>
          <w:sz w:val="20"/>
        </w:rPr>
      </w:pPr>
      <w:r w:rsidRPr="00B83D23">
        <w:rPr>
          <w:rFonts w:ascii="Calibri" w:hAnsi="Calibri"/>
          <w:b w:val="0"/>
          <w:sz w:val="20"/>
        </w:rPr>
        <w:t xml:space="preserve">Question: what is the risk priority?  </w:t>
      </w:r>
    </w:p>
    <w:p w:rsidR="00BE0483" w:rsidRPr="00DD0BC7" w:rsidRDefault="00BE0483" w:rsidP="00BE0483">
      <w:pPr>
        <w:pStyle w:val="Style2"/>
        <w:numPr>
          <w:ilvl w:val="0"/>
          <w:numId w:val="0"/>
        </w:numPr>
        <w:jc w:val="left"/>
        <w:rPr>
          <w:rFonts w:ascii="Calibri" w:hAnsi="Calibri"/>
          <w:b w:val="0"/>
          <w:sz w:val="22"/>
          <w:szCs w:val="22"/>
        </w:rPr>
      </w:pPr>
    </w:p>
    <w:p w:rsidR="00BE0483" w:rsidRPr="00DD0BC7" w:rsidRDefault="00BE0483" w:rsidP="00BE0483">
      <w:pPr>
        <w:pStyle w:val="Style2"/>
        <w:numPr>
          <w:ilvl w:val="0"/>
          <w:numId w:val="0"/>
        </w:numPr>
        <w:jc w:val="left"/>
        <w:rPr>
          <w:rFonts w:ascii="Calibri" w:hAnsi="Calibri"/>
          <w:sz w:val="22"/>
          <w:szCs w:val="22"/>
        </w:rPr>
      </w:pPr>
      <w:r>
        <w:rPr>
          <w:rFonts w:ascii="Calibri" w:hAnsi="Calibri"/>
          <w:sz w:val="22"/>
          <w:szCs w:val="22"/>
        </w:rPr>
        <w:br w:type="page"/>
      </w:r>
      <w:r w:rsidRPr="00DD0BC7">
        <w:rPr>
          <w:rFonts w:ascii="Calibri" w:hAnsi="Calibri"/>
          <w:sz w:val="22"/>
          <w:szCs w:val="22"/>
        </w:rPr>
        <w:t xml:space="preserve">Table </w:t>
      </w:r>
      <w:r>
        <w:rPr>
          <w:rFonts w:ascii="Calibri" w:hAnsi="Calibri"/>
          <w:sz w:val="22"/>
          <w:szCs w:val="22"/>
        </w:rPr>
        <w:t>3</w:t>
      </w:r>
      <w:r w:rsidRPr="00DD0BC7">
        <w:rPr>
          <w:rFonts w:ascii="Calibri" w:hAnsi="Calibri"/>
          <w:sz w:val="22"/>
          <w:szCs w:val="22"/>
        </w:rPr>
        <w:t>– Risk priority scale</w:t>
      </w:r>
    </w:p>
    <w:p w:rsidR="00BE0483" w:rsidRPr="00DD0BC7" w:rsidRDefault="00BE0483" w:rsidP="00BE0483">
      <w:pPr>
        <w:pStyle w:val="Style2"/>
        <w:numPr>
          <w:ilvl w:val="0"/>
          <w:numId w:val="0"/>
        </w:numPr>
        <w:rPr>
          <w:rFonts w:ascii="Calibri" w:hAnsi="Calibri"/>
        </w:rPr>
      </w:pPr>
    </w:p>
    <w:p w:rsidR="00BE0483" w:rsidRPr="00DD0BC7" w:rsidRDefault="00BE0483" w:rsidP="00BE0483">
      <w:pPr>
        <w:spacing w:after="0"/>
        <w:jc w:val="both"/>
        <w:rPr>
          <w:b/>
        </w:rPr>
      </w:pPr>
      <w:r w:rsidRPr="00DD0BC7">
        <w:rPr>
          <w:b/>
        </w:rPr>
        <w:t>IMPACT</w:t>
      </w:r>
    </w:p>
    <w:tbl>
      <w:tblPr>
        <w:tblW w:w="8930" w:type="dxa"/>
        <w:jc w:val="center"/>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17"/>
        <w:gridCol w:w="47"/>
        <w:gridCol w:w="1427"/>
        <w:gridCol w:w="37"/>
        <w:gridCol w:w="1437"/>
        <w:gridCol w:w="28"/>
        <w:gridCol w:w="1446"/>
        <w:gridCol w:w="19"/>
        <w:gridCol w:w="1455"/>
        <w:gridCol w:w="10"/>
        <w:gridCol w:w="1607"/>
      </w:tblGrid>
      <w:tr w:rsidR="00BE0483" w:rsidRPr="00B83D23" w:rsidTr="000D6972">
        <w:trPr>
          <w:gridBefore w:val="1"/>
          <w:wBefore w:w="1417" w:type="dxa"/>
          <w:trHeight w:val="80"/>
          <w:jc w:val="center"/>
        </w:trPr>
        <w:tc>
          <w:tcPr>
            <w:tcW w:w="1474" w:type="dxa"/>
            <w:gridSpan w:val="2"/>
            <w:tcBorders>
              <w:top w:val="single" w:sz="4" w:space="0" w:color="auto"/>
              <w:left w:val="single" w:sz="4" w:space="0" w:color="auto"/>
              <w:bottom w:val="single" w:sz="4" w:space="0" w:color="auto"/>
              <w:right w:val="single" w:sz="4" w:space="0" w:color="auto"/>
            </w:tcBorders>
            <w:shd w:val="clear" w:color="auto" w:fill="003366"/>
          </w:tcPr>
          <w:p w:rsidR="00BE0483" w:rsidRPr="00B83D23" w:rsidRDefault="00BE0483" w:rsidP="000D6972">
            <w:pPr>
              <w:spacing w:after="0"/>
              <w:jc w:val="center"/>
              <w:outlineLvl w:val="0"/>
              <w:rPr>
                <w:b/>
                <w:color w:val="FFFFFF"/>
                <w:sz w:val="20"/>
                <w:szCs w:val="20"/>
              </w:rPr>
            </w:pPr>
            <w:r w:rsidRPr="00B83D23">
              <w:rPr>
                <w:b/>
                <w:color w:val="FFFFFF"/>
                <w:sz w:val="20"/>
                <w:szCs w:val="20"/>
              </w:rPr>
              <w:t>5</w:t>
            </w:r>
          </w:p>
          <w:p w:rsidR="00BE0483" w:rsidRPr="00B83D23" w:rsidRDefault="00BE0483" w:rsidP="000D6972">
            <w:pPr>
              <w:spacing w:after="0"/>
              <w:jc w:val="center"/>
              <w:outlineLvl w:val="0"/>
              <w:rPr>
                <w:b/>
                <w:color w:val="FFFFFF"/>
                <w:sz w:val="20"/>
                <w:szCs w:val="20"/>
              </w:rPr>
            </w:pPr>
            <w:r w:rsidRPr="00B83D23">
              <w:rPr>
                <w:b/>
                <w:color w:val="FFFFFF"/>
                <w:sz w:val="20"/>
                <w:szCs w:val="20"/>
              </w:rPr>
              <w:t>Catastrophic</w:t>
            </w:r>
          </w:p>
          <w:p w:rsidR="00BE0483" w:rsidRPr="00B83D23" w:rsidRDefault="00BE0483" w:rsidP="000D6972">
            <w:pPr>
              <w:spacing w:after="0"/>
              <w:jc w:val="center"/>
              <w:outlineLvl w:val="0"/>
              <w:rPr>
                <w:b/>
                <w:color w:val="FFFFFF"/>
                <w:sz w:val="20"/>
                <w:szCs w:val="20"/>
              </w:rPr>
            </w:pPr>
          </w:p>
        </w:tc>
        <w:tc>
          <w:tcPr>
            <w:tcW w:w="1474" w:type="dxa"/>
            <w:gridSpan w:val="2"/>
            <w:tcBorders>
              <w:top w:val="single" w:sz="4" w:space="0" w:color="auto"/>
              <w:left w:val="single" w:sz="4" w:space="0" w:color="auto"/>
              <w:right w:val="single" w:sz="4" w:space="0" w:color="auto"/>
            </w:tcBorders>
            <w:shd w:val="clear" w:color="auto" w:fill="003366"/>
          </w:tcPr>
          <w:p w:rsidR="00BE0483" w:rsidRPr="00B83D23" w:rsidRDefault="00BE0483" w:rsidP="000D6972">
            <w:pPr>
              <w:spacing w:after="0"/>
              <w:jc w:val="center"/>
              <w:outlineLvl w:val="0"/>
              <w:rPr>
                <w:b/>
                <w:color w:val="FFFFFF"/>
                <w:sz w:val="20"/>
                <w:szCs w:val="20"/>
              </w:rPr>
            </w:pPr>
            <w:r w:rsidRPr="00B83D23">
              <w:rPr>
                <w:b/>
                <w:color w:val="FFFFFF"/>
                <w:sz w:val="20"/>
                <w:szCs w:val="20"/>
              </w:rPr>
              <w:t>4</w:t>
            </w:r>
          </w:p>
          <w:p w:rsidR="00BE0483" w:rsidRPr="00B83D23" w:rsidRDefault="00BE0483" w:rsidP="000D6972">
            <w:pPr>
              <w:spacing w:after="0"/>
              <w:jc w:val="center"/>
              <w:outlineLvl w:val="0"/>
              <w:rPr>
                <w:b/>
                <w:color w:val="FFFFFF"/>
                <w:sz w:val="20"/>
                <w:szCs w:val="20"/>
              </w:rPr>
            </w:pPr>
            <w:r w:rsidRPr="00B83D23">
              <w:rPr>
                <w:b/>
                <w:color w:val="FFFFFF"/>
                <w:sz w:val="20"/>
                <w:szCs w:val="20"/>
              </w:rPr>
              <w:t>Major</w:t>
            </w:r>
          </w:p>
        </w:tc>
        <w:tc>
          <w:tcPr>
            <w:tcW w:w="1474" w:type="dxa"/>
            <w:gridSpan w:val="2"/>
            <w:tcBorders>
              <w:top w:val="single" w:sz="4" w:space="0" w:color="auto"/>
              <w:left w:val="single" w:sz="4" w:space="0" w:color="auto"/>
              <w:right w:val="single" w:sz="4" w:space="0" w:color="auto"/>
            </w:tcBorders>
            <w:shd w:val="clear" w:color="auto" w:fill="003366"/>
          </w:tcPr>
          <w:p w:rsidR="00BE0483" w:rsidRPr="00B83D23" w:rsidRDefault="00BE0483" w:rsidP="000D6972">
            <w:pPr>
              <w:spacing w:after="0"/>
              <w:jc w:val="center"/>
              <w:outlineLvl w:val="0"/>
              <w:rPr>
                <w:b/>
                <w:color w:val="FFFFFF"/>
                <w:sz w:val="20"/>
                <w:szCs w:val="20"/>
              </w:rPr>
            </w:pPr>
            <w:r w:rsidRPr="00B83D23">
              <w:rPr>
                <w:b/>
                <w:color w:val="FFFFFF"/>
                <w:sz w:val="20"/>
                <w:szCs w:val="20"/>
              </w:rPr>
              <w:t>3</w:t>
            </w:r>
          </w:p>
          <w:p w:rsidR="00BE0483" w:rsidRPr="00B83D23" w:rsidRDefault="00BE0483" w:rsidP="000D6972">
            <w:pPr>
              <w:spacing w:after="0"/>
              <w:jc w:val="center"/>
              <w:outlineLvl w:val="0"/>
              <w:rPr>
                <w:b/>
                <w:color w:val="FFFFFF"/>
                <w:sz w:val="20"/>
                <w:szCs w:val="20"/>
              </w:rPr>
            </w:pPr>
            <w:r w:rsidRPr="00B83D23">
              <w:rPr>
                <w:b/>
                <w:color w:val="FFFFFF"/>
                <w:sz w:val="20"/>
                <w:szCs w:val="20"/>
              </w:rPr>
              <w:t>Moderate</w:t>
            </w:r>
          </w:p>
        </w:tc>
        <w:tc>
          <w:tcPr>
            <w:tcW w:w="1474" w:type="dxa"/>
            <w:gridSpan w:val="2"/>
            <w:tcBorders>
              <w:top w:val="single" w:sz="4" w:space="0" w:color="auto"/>
              <w:left w:val="single" w:sz="4" w:space="0" w:color="auto"/>
              <w:bottom w:val="single" w:sz="4" w:space="0" w:color="auto"/>
              <w:right w:val="single" w:sz="4" w:space="0" w:color="auto"/>
            </w:tcBorders>
            <w:shd w:val="clear" w:color="auto" w:fill="003366"/>
          </w:tcPr>
          <w:p w:rsidR="00BE0483" w:rsidRPr="00B83D23" w:rsidRDefault="00BE0483" w:rsidP="000D6972">
            <w:pPr>
              <w:spacing w:after="0"/>
              <w:jc w:val="center"/>
              <w:outlineLvl w:val="0"/>
              <w:rPr>
                <w:b/>
                <w:color w:val="FFFFFF"/>
                <w:sz w:val="20"/>
                <w:szCs w:val="20"/>
              </w:rPr>
            </w:pPr>
            <w:r w:rsidRPr="00B83D23">
              <w:rPr>
                <w:b/>
                <w:color w:val="FFFFFF"/>
                <w:sz w:val="20"/>
                <w:szCs w:val="20"/>
              </w:rPr>
              <w:t>2</w:t>
            </w:r>
          </w:p>
          <w:p w:rsidR="00BE0483" w:rsidRPr="00B83D23" w:rsidRDefault="00BE0483" w:rsidP="000D6972">
            <w:pPr>
              <w:spacing w:after="0"/>
              <w:jc w:val="center"/>
              <w:outlineLvl w:val="0"/>
              <w:rPr>
                <w:b/>
                <w:color w:val="FFFFFF"/>
                <w:sz w:val="20"/>
                <w:szCs w:val="20"/>
              </w:rPr>
            </w:pPr>
            <w:r w:rsidRPr="00B83D23">
              <w:rPr>
                <w:b/>
                <w:color w:val="FFFFFF"/>
                <w:sz w:val="20"/>
                <w:szCs w:val="20"/>
              </w:rPr>
              <w:t>Minor</w:t>
            </w:r>
          </w:p>
        </w:tc>
        <w:tc>
          <w:tcPr>
            <w:tcW w:w="1617" w:type="dxa"/>
            <w:gridSpan w:val="2"/>
            <w:tcBorders>
              <w:top w:val="single" w:sz="4" w:space="0" w:color="auto"/>
              <w:left w:val="single" w:sz="4" w:space="0" w:color="auto"/>
              <w:bottom w:val="single" w:sz="4" w:space="0" w:color="auto"/>
              <w:right w:val="single" w:sz="4" w:space="0" w:color="auto"/>
            </w:tcBorders>
            <w:shd w:val="clear" w:color="auto" w:fill="003366"/>
          </w:tcPr>
          <w:p w:rsidR="00BE0483" w:rsidRPr="00B83D23" w:rsidRDefault="00BE0483" w:rsidP="000D6972">
            <w:pPr>
              <w:spacing w:after="0"/>
              <w:jc w:val="center"/>
              <w:rPr>
                <w:b/>
                <w:color w:val="FFFFFF"/>
                <w:sz w:val="20"/>
                <w:szCs w:val="20"/>
              </w:rPr>
            </w:pPr>
            <w:r w:rsidRPr="00B83D23">
              <w:rPr>
                <w:b/>
                <w:color w:val="FFFFFF"/>
                <w:sz w:val="20"/>
                <w:szCs w:val="20"/>
              </w:rPr>
              <w:t>1</w:t>
            </w:r>
          </w:p>
          <w:p w:rsidR="00BE0483" w:rsidRPr="00B83D23" w:rsidRDefault="00BE0483" w:rsidP="000D6972">
            <w:pPr>
              <w:spacing w:after="0"/>
              <w:ind w:right="8"/>
              <w:jc w:val="center"/>
              <w:outlineLvl w:val="0"/>
              <w:rPr>
                <w:b/>
                <w:color w:val="FFFFFF"/>
                <w:sz w:val="20"/>
                <w:szCs w:val="20"/>
              </w:rPr>
            </w:pPr>
            <w:r w:rsidRPr="00B83D23">
              <w:rPr>
                <w:b/>
                <w:color w:val="FFFFFF"/>
                <w:sz w:val="20"/>
                <w:szCs w:val="20"/>
              </w:rPr>
              <w:t>Negligible</w:t>
            </w:r>
          </w:p>
        </w:tc>
      </w:tr>
      <w:tr w:rsidR="00BE0483" w:rsidRPr="00B83D23" w:rsidTr="000D6972">
        <w:trPr>
          <w:cantSplit/>
          <w:trHeight w:val="80"/>
          <w:jc w:val="center"/>
        </w:trPr>
        <w:tc>
          <w:tcPr>
            <w:tcW w:w="1464" w:type="dxa"/>
            <w:gridSpan w:val="2"/>
            <w:shd w:val="clear" w:color="auto" w:fill="003366"/>
          </w:tcPr>
          <w:p w:rsidR="00BE0483" w:rsidRPr="00B83D23" w:rsidRDefault="00BE0483" w:rsidP="000D6972">
            <w:pPr>
              <w:spacing w:after="0"/>
              <w:jc w:val="center"/>
              <w:rPr>
                <w:b/>
                <w:color w:val="FFFFFF"/>
                <w:sz w:val="20"/>
                <w:szCs w:val="20"/>
              </w:rPr>
            </w:pPr>
          </w:p>
          <w:p w:rsidR="00BE0483" w:rsidRPr="00B83D23" w:rsidRDefault="00BE0483" w:rsidP="000D6972">
            <w:pPr>
              <w:spacing w:after="0"/>
              <w:jc w:val="center"/>
              <w:rPr>
                <w:b/>
                <w:color w:val="FFFFFF"/>
                <w:sz w:val="20"/>
                <w:szCs w:val="20"/>
              </w:rPr>
            </w:pPr>
            <w:r w:rsidRPr="00B83D23">
              <w:rPr>
                <w:b/>
                <w:color w:val="FFFFFF"/>
                <w:sz w:val="20"/>
                <w:szCs w:val="20"/>
              </w:rPr>
              <w:t>5</w:t>
            </w:r>
          </w:p>
          <w:p w:rsidR="00BE0483" w:rsidRPr="00B83D23" w:rsidRDefault="00BE0483" w:rsidP="000D6972">
            <w:pPr>
              <w:spacing w:after="0"/>
              <w:jc w:val="center"/>
              <w:rPr>
                <w:b/>
                <w:color w:val="FFFFFF"/>
                <w:sz w:val="20"/>
                <w:szCs w:val="20"/>
              </w:rPr>
            </w:pPr>
            <w:r w:rsidRPr="00506005">
              <w:rPr>
                <w:b/>
                <w:noProof/>
                <w:color w:val="FFFFFF"/>
                <w:sz w:val="20"/>
                <w:szCs w:val="20"/>
                <w:lang w:val="en-AU" w:eastAsia="en-AU"/>
              </w:rPr>
              <w:pict>
                <v:rect id="_x0000_s1026" style="position:absolute;left:0;text-align:left;margin-left:-56.5pt;margin-top:11.3pt;width:36pt;height:223.3pt;z-index:251660288" filled="f" stroked="f">
                  <v:textbox style="mso-next-textbox:#_x0000_s1026">
                    <w:txbxContent>
                      <w:p w:rsidR="00BE0483" w:rsidRDefault="00BE0483" w:rsidP="00BE0483">
                        <w:pPr>
                          <w:spacing w:after="0"/>
                          <w:ind w:left="-425"/>
                          <w:jc w:val="center"/>
                          <w:rPr>
                            <w:b/>
                            <w:sz w:val="20"/>
                          </w:rPr>
                        </w:pPr>
                      </w:p>
                      <w:p w:rsidR="00BE0483" w:rsidRPr="008132C8" w:rsidRDefault="00BE0483" w:rsidP="00BE0483">
                        <w:pPr>
                          <w:spacing w:after="120"/>
                          <w:ind w:left="-425"/>
                          <w:jc w:val="right"/>
                          <w:rPr>
                            <w:b/>
                            <w:sz w:val="20"/>
                          </w:rPr>
                        </w:pPr>
                        <w:r w:rsidRPr="008132C8">
                          <w:rPr>
                            <w:b/>
                            <w:sz w:val="20"/>
                          </w:rPr>
                          <w:t>L</w:t>
                        </w:r>
                      </w:p>
                      <w:p w:rsidR="00BE0483" w:rsidRPr="008132C8" w:rsidRDefault="00BE0483" w:rsidP="00BE0483">
                        <w:pPr>
                          <w:spacing w:after="120"/>
                          <w:ind w:left="-425"/>
                          <w:jc w:val="right"/>
                          <w:rPr>
                            <w:b/>
                            <w:sz w:val="20"/>
                          </w:rPr>
                        </w:pPr>
                        <w:r w:rsidRPr="008132C8">
                          <w:rPr>
                            <w:b/>
                            <w:sz w:val="20"/>
                          </w:rPr>
                          <w:t>I</w:t>
                        </w:r>
                      </w:p>
                      <w:p w:rsidR="00BE0483" w:rsidRPr="008132C8" w:rsidRDefault="00BE0483" w:rsidP="00BE0483">
                        <w:pPr>
                          <w:spacing w:after="120"/>
                          <w:ind w:left="-425"/>
                          <w:jc w:val="right"/>
                          <w:rPr>
                            <w:b/>
                            <w:sz w:val="20"/>
                          </w:rPr>
                        </w:pPr>
                        <w:r w:rsidRPr="008132C8">
                          <w:rPr>
                            <w:b/>
                            <w:sz w:val="20"/>
                          </w:rPr>
                          <w:t>K</w:t>
                        </w:r>
                      </w:p>
                      <w:p w:rsidR="00BE0483" w:rsidRPr="008132C8" w:rsidRDefault="00BE0483" w:rsidP="00BE0483">
                        <w:pPr>
                          <w:spacing w:after="120"/>
                          <w:ind w:left="-425"/>
                          <w:jc w:val="right"/>
                          <w:rPr>
                            <w:b/>
                            <w:sz w:val="20"/>
                          </w:rPr>
                        </w:pPr>
                        <w:r w:rsidRPr="008132C8">
                          <w:rPr>
                            <w:b/>
                            <w:sz w:val="20"/>
                          </w:rPr>
                          <w:t>E</w:t>
                        </w:r>
                      </w:p>
                      <w:p w:rsidR="00BE0483" w:rsidRPr="008132C8" w:rsidRDefault="00BE0483" w:rsidP="00BE0483">
                        <w:pPr>
                          <w:spacing w:after="120"/>
                          <w:ind w:left="-425"/>
                          <w:jc w:val="right"/>
                          <w:rPr>
                            <w:b/>
                            <w:sz w:val="20"/>
                          </w:rPr>
                        </w:pPr>
                        <w:r w:rsidRPr="008132C8">
                          <w:rPr>
                            <w:b/>
                            <w:sz w:val="20"/>
                          </w:rPr>
                          <w:t>L</w:t>
                        </w:r>
                      </w:p>
                      <w:p w:rsidR="00BE0483" w:rsidRPr="008132C8" w:rsidRDefault="00BE0483" w:rsidP="00BE0483">
                        <w:pPr>
                          <w:spacing w:after="120"/>
                          <w:ind w:left="-425"/>
                          <w:jc w:val="right"/>
                          <w:rPr>
                            <w:b/>
                            <w:sz w:val="20"/>
                          </w:rPr>
                        </w:pPr>
                        <w:r w:rsidRPr="008132C8">
                          <w:rPr>
                            <w:b/>
                            <w:sz w:val="20"/>
                          </w:rPr>
                          <w:t>I</w:t>
                        </w:r>
                      </w:p>
                      <w:p w:rsidR="00BE0483" w:rsidRPr="008132C8" w:rsidRDefault="00BE0483" w:rsidP="00BE0483">
                        <w:pPr>
                          <w:spacing w:after="120"/>
                          <w:ind w:left="-425"/>
                          <w:jc w:val="right"/>
                          <w:rPr>
                            <w:b/>
                            <w:sz w:val="20"/>
                          </w:rPr>
                        </w:pPr>
                        <w:r w:rsidRPr="008132C8">
                          <w:rPr>
                            <w:b/>
                            <w:sz w:val="20"/>
                          </w:rPr>
                          <w:t>H</w:t>
                        </w:r>
                      </w:p>
                      <w:p w:rsidR="00BE0483" w:rsidRPr="008132C8" w:rsidRDefault="00BE0483" w:rsidP="00BE0483">
                        <w:pPr>
                          <w:spacing w:after="120"/>
                          <w:ind w:left="-425"/>
                          <w:jc w:val="right"/>
                          <w:rPr>
                            <w:b/>
                            <w:sz w:val="20"/>
                          </w:rPr>
                        </w:pPr>
                        <w:r w:rsidRPr="008132C8">
                          <w:rPr>
                            <w:b/>
                            <w:sz w:val="20"/>
                          </w:rPr>
                          <w:t>O</w:t>
                        </w:r>
                      </w:p>
                      <w:p w:rsidR="00BE0483" w:rsidRPr="008132C8" w:rsidRDefault="00BE0483" w:rsidP="00BE0483">
                        <w:pPr>
                          <w:spacing w:after="120"/>
                          <w:ind w:left="-426"/>
                          <w:jc w:val="right"/>
                          <w:rPr>
                            <w:b/>
                            <w:sz w:val="20"/>
                          </w:rPr>
                        </w:pPr>
                        <w:r w:rsidRPr="008132C8">
                          <w:rPr>
                            <w:b/>
                            <w:sz w:val="20"/>
                          </w:rPr>
                          <w:t>O</w:t>
                        </w:r>
                      </w:p>
                      <w:p w:rsidR="00BE0483" w:rsidRPr="008132C8" w:rsidRDefault="00BE0483" w:rsidP="00BE0483">
                        <w:pPr>
                          <w:spacing w:after="120"/>
                          <w:ind w:left="-426"/>
                          <w:jc w:val="right"/>
                          <w:rPr>
                            <w:b/>
                            <w:sz w:val="20"/>
                          </w:rPr>
                        </w:pPr>
                        <w:r w:rsidRPr="008132C8">
                          <w:rPr>
                            <w:b/>
                            <w:sz w:val="20"/>
                          </w:rPr>
                          <w:t>D</w:t>
                        </w:r>
                      </w:p>
                      <w:p w:rsidR="00BE0483" w:rsidRDefault="00BE0483" w:rsidP="00BE0483">
                        <w:pPr>
                          <w:spacing w:after="120"/>
                          <w:ind w:left="-426"/>
                        </w:pPr>
                      </w:p>
                    </w:txbxContent>
                  </v:textbox>
                </v:rect>
              </w:pict>
            </w:r>
            <w:r w:rsidRPr="00B83D23">
              <w:rPr>
                <w:b/>
                <w:color w:val="FFFFFF"/>
                <w:sz w:val="20"/>
                <w:szCs w:val="20"/>
              </w:rPr>
              <w:t>Almost certain</w:t>
            </w:r>
          </w:p>
        </w:tc>
        <w:tc>
          <w:tcPr>
            <w:tcW w:w="1464" w:type="dxa"/>
            <w:gridSpan w:val="2"/>
            <w:tcBorders>
              <w:top w:val="single" w:sz="4" w:space="0" w:color="auto"/>
            </w:tcBorders>
            <w:shd w:val="clear" w:color="auto" w:fill="FF7C80"/>
          </w:tcPr>
          <w:p w:rsidR="00BE0483" w:rsidRPr="00B83D23" w:rsidRDefault="00BE0483" w:rsidP="000D6972">
            <w:pPr>
              <w:spacing w:after="0"/>
              <w:jc w:val="center"/>
              <w:rPr>
                <w:b/>
                <w:sz w:val="20"/>
                <w:szCs w:val="20"/>
              </w:rPr>
            </w:pPr>
          </w:p>
          <w:p w:rsidR="00BE0483" w:rsidRPr="00B83D23" w:rsidRDefault="00BE0483" w:rsidP="000D6972">
            <w:pPr>
              <w:spacing w:after="0"/>
              <w:jc w:val="center"/>
              <w:rPr>
                <w:b/>
                <w:sz w:val="20"/>
                <w:szCs w:val="20"/>
              </w:rPr>
            </w:pPr>
            <w:r w:rsidRPr="00B83D23">
              <w:rPr>
                <w:b/>
                <w:sz w:val="20"/>
                <w:szCs w:val="20"/>
              </w:rPr>
              <w:t>Extreme</w:t>
            </w:r>
          </w:p>
          <w:p w:rsidR="00BE0483" w:rsidRPr="00B83D23" w:rsidRDefault="00BE0483" w:rsidP="000D6972">
            <w:pPr>
              <w:spacing w:after="0"/>
              <w:jc w:val="center"/>
              <w:rPr>
                <w:b/>
                <w:sz w:val="20"/>
                <w:szCs w:val="20"/>
              </w:rPr>
            </w:pPr>
            <w:r w:rsidRPr="00B83D23">
              <w:rPr>
                <w:b/>
                <w:sz w:val="20"/>
                <w:szCs w:val="20"/>
              </w:rPr>
              <w:t>(1)</w:t>
            </w:r>
          </w:p>
          <w:p w:rsidR="00BE0483" w:rsidRPr="00B83D23" w:rsidRDefault="00BE0483" w:rsidP="000D6972">
            <w:pPr>
              <w:spacing w:after="0"/>
              <w:jc w:val="center"/>
              <w:outlineLvl w:val="0"/>
              <w:rPr>
                <w:b/>
                <w:sz w:val="20"/>
                <w:szCs w:val="20"/>
              </w:rPr>
            </w:pPr>
          </w:p>
        </w:tc>
        <w:tc>
          <w:tcPr>
            <w:tcW w:w="1465" w:type="dxa"/>
            <w:gridSpan w:val="2"/>
            <w:shd w:val="clear" w:color="auto" w:fill="FF7C80"/>
          </w:tcPr>
          <w:p w:rsidR="00BE0483" w:rsidRPr="00B83D23" w:rsidRDefault="00BE0483" w:rsidP="000D6972">
            <w:pPr>
              <w:spacing w:after="0"/>
              <w:jc w:val="center"/>
              <w:rPr>
                <w:b/>
                <w:sz w:val="20"/>
                <w:szCs w:val="20"/>
              </w:rPr>
            </w:pPr>
          </w:p>
          <w:p w:rsidR="00BE0483" w:rsidRPr="00B83D23" w:rsidRDefault="00BE0483" w:rsidP="000D6972">
            <w:pPr>
              <w:spacing w:after="0"/>
              <w:jc w:val="center"/>
              <w:rPr>
                <w:b/>
                <w:sz w:val="20"/>
                <w:szCs w:val="20"/>
              </w:rPr>
            </w:pPr>
            <w:r w:rsidRPr="00B83D23">
              <w:rPr>
                <w:b/>
                <w:sz w:val="20"/>
                <w:szCs w:val="20"/>
              </w:rPr>
              <w:t>Extreme</w:t>
            </w:r>
          </w:p>
          <w:p w:rsidR="00BE0483" w:rsidRPr="00B83D23" w:rsidRDefault="00BE0483" w:rsidP="000D6972">
            <w:pPr>
              <w:spacing w:after="0"/>
              <w:jc w:val="center"/>
              <w:rPr>
                <w:b/>
                <w:sz w:val="20"/>
                <w:szCs w:val="20"/>
              </w:rPr>
            </w:pPr>
            <w:r w:rsidRPr="00B83D23">
              <w:rPr>
                <w:b/>
                <w:sz w:val="20"/>
                <w:szCs w:val="20"/>
              </w:rPr>
              <w:t>(1)</w:t>
            </w:r>
          </w:p>
          <w:p w:rsidR="00BE0483" w:rsidRPr="00B83D23" w:rsidRDefault="00BE0483" w:rsidP="000D6972">
            <w:pPr>
              <w:spacing w:after="0"/>
              <w:jc w:val="center"/>
              <w:outlineLvl w:val="0"/>
              <w:rPr>
                <w:b/>
                <w:sz w:val="20"/>
                <w:szCs w:val="20"/>
              </w:rPr>
            </w:pPr>
          </w:p>
        </w:tc>
        <w:tc>
          <w:tcPr>
            <w:tcW w:w="1465" w:type="dxa"/>
            <w:gridSpan w:val="2"/>
            <w:shd w:val="clear" w:color="auto" w:fill="FFFF00"/>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Major</w:t>
            </w:r>
          </w:p>
          <w:p w:rsidR="00BE0483" w:rsidRPr="00B83D23" w:rsidRDefault="00BE0483" w:rsidP="000D6972">
            <w:pPr>
              <w:spacing w:after="0"/>
              <w:jc w:val="center"/>
              <w:rPr>
                <w:sz w:val="20"/>
                <w:szCs w:val="20"/>
              </w:rPr>
            </w:pPr>
            <w:r w:rsidRPr="00B83D23">
              <w:rPr>
                <w:sz w:val="20"/>
                <w:szCs w:val="20"/>
              </w:rPr>
              <w:t>(2)</w:t>
            </w:r>
          </w:p>
          <w:p w:rsidR="00BE0483" w:rsidRPr="00B83D23" w:rsidRDefault="00BE0483" w:rsidP="000D6972">
            <w:pPr>
              <w:spacing w:after="0"/>
              <w:jc w:val="center"/>
              <w:outlineLvl w:val="0"/>
              <w:rPr>
                <w:sz w:val="20"/>
                <w:szCs w:val="20"/>
              </w:rPr>
            </w:pPr>
          </w:p>
        </w:tc>
        <w:tc>
          <w:tcPr>
            <w:tcW w:w="1465" w:type="dxa"/>
            <w:gridSpan w:val="2"/>
            <w:tcBorders>
              <w:bottom w:val="single" w:sz="4" w:space="0" w:color="auto"/>
            </w:tcBorders>
            <w:shd w:val="clear" w:color="auto" w:fill="FFFF00"/>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Major</w:t>
            </w:r>
          </w:p>
          <w:p w:rsidR="00BE0483" w:rsidRPr="00B83D23" w:rsidRDefault="00BE0483" w:rsidP="000D6972">
            <w:pPr>
              <w:spacing w:after="0"/>
              <w:jc w:val="center"/>
              <w:rPr>
                <w:sz w:val="20"/>
                <w:szCs w:val="20"/>
              </w:rPr>
            </w:pPr>
            <w:r w:rsidRPr="00B83D23">
              <w:rPr>
                <w:sz w:val="20"/>
                <w:szCs w:val="20"/>
              </w:rPr>
              <w:t>(2)</w:t>
            </w:r>
          </w:p>
          <w:p w:rsidR="00BE0483" w:rsidRPr="00B83D23" w:rsidRDefault="00BE0483" w:rsidP="000D6972">
            <w:pPr>
              <w:spacing w:after="0"/>
              <w:jc w:val="center"/>
              <w:outlineLvl w:val="0"/>
              <w:rPr>
                <w:b/>
                <w:sz w:val="20"/>
                <w:szCs w:val="20"/>
              </w:rPr>
            </w:pPr>
          </w:p>
        </w:tc>
        <w:tc>
          <w:tcPr>
            <w:tcW w:w="1607" w:type="dxa"/>
            <w:tcBorders>
              <w:bottom w:val="single" w:sz="4" w:space="0" w:color="auto"/>
            </w:tcBorders>
            <w:shd w:val="clear" w:color="auto" w:fill="8DB3E2"/>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Medium</w:t>
            </w:r>
          </w:p>
          <w:p w:rsidR="00BE0483" w:rsidRPr="00B83D23" w:rsidRDefault="00BE0483" w:rsidP="000D6972">
            <w:pPr>
              <w:spacing w:after="0"/>
              <w:jc w:val="center"/>
              <w:rPr>
                <w:sz w:val="20"/>
                <w:szCs w:val="20"/>
              </w:rPr>
            </w:pPr>
            <w:r w:rsidRPr="00B83D23">
              <w:rPr>
                <w:sz w:val="20"/>
                <w:szCs w:val="20"/>
              </w:rPr>
              <w:t>(3)</w:t>
            </w:r>
          </w:p>
          <w:p w:rsidR="00BE0483" w:rsidRPr="00B83D23" w:rsidRDefault="00BE0483" w:rsidP="000D6972">
            <w:pPr>
              <w:spacing w:after="0"/>
              <w:jc w:val="center"/>
              <w:outlineLvl w:val="0"/>
              <w:rPr>
                <w:b/>
                <w:sz w:val="20"/>
                <w:szCs w:val="20"/>
              </w:rPr>
            </w:pPr>
          </w:p>
        </w:tc>
      </w:tr>
      <w:tr w:rsidR="00BE0483" w:rsidRPr="00B83D23" w:rsidTr="000D6972">
        <w:trPr>
          <w:cantSplit/>
          <w:trHeight w:val="80"/>
          <w:jc w:val="center"/>
        </w:trPr>
        <w:tc>
          <w:tcPr>
            <w:tcW w:w="1464" w:type="dxa"/>
            <w:gridSpan w:val="2"/>
            <w:shd w:val="clear" w:color="auto" w:fill="003366"/>
          </w:tcPr>
          <w:p w:rsidR="00BE0483" w:rsidRPr="00B83D23" w:rsidRDefault="00BE0483" w:rsidP="000D6972">
            <w:pPr>
              <w:spacing w:after="0"/>
              <w:jc w:val="center"/>
              <w:rPr>
                <w:b/>
                <w:color w:val="FFFFFF"/>
                <w:sz w:val="20"/>
                <w:szCs w:val="20"/>
              </w:rPr>
            </w:pPr>
          </w:p>
          <w:p w:rsidR="00BE0483" w:rsidRPr="00B83D23" w:rsidRDefault="00BE0483" w:rsidP="000D6972">
            <w:pPr>
              <w:spacing w:after="0"/>
              <w:jc w:val="center"/>
              <w:rPr>
                <w:b/>
                <w:color w:val="FFFFFF"/>
                <w:sz w:val="20"/>
                <w:szCs w:val="20"/>
              </w:rPr>
            </w:pPr>
            <w:r w:rsidRPr="00B83D23">
              <w:rPr>
                <w:b/>
                <w:color w:val="FFFFFF"/>
                <w:sz w:val="20"/>
                <w:szCs w:val="20"/>
              </w:rPr>
              <w:t>4</w:t>
            </w:r>
          </w:p>
          <w:p w:rsidR="00BE0483" w:rsidRPr="00B83D23" w:rsidRDefault="00BE0483" w:rsidP="000D6972">
            <w:pPr>
              <w:spacing w:after="0"/>
              <w:jc w:val="center"/>
              <w:rPr>
                <w:b/>
                <w:color w:val="FFFFFF"/>
                <w:sz w:val="20"/>
                <w:szCs w:val="20"/>
              </w:rPr>
            </w:pPr>
            <w:r w:rsidRPr="00B83D23">
              <w:rPr>
                <w:b/>
                <w:color w:val="FFFFFF"/>
                <w:sz w:val="20"/>
                <w:szCs w:val="20"/>
              </w:rPr>
              <w:t>Likely</w:t>
            </w:r>
          </w:p>
        </w:tc>
        <w:tc>
          <w:tcPr>
            <w:tcW w:w="1464" w:type="dxa"/>
            <w:gridSpan w:val="2"/>
            <w:tcBorders>
              <w:bottom w:val="single" w:sz="4" w:space="0" w:color="auto"/>
            </w:tcBorders>
            <w:shd w:val="clear" w:color="auto" w:fill="FF7C80"/>
          </w:tcPr>
          <w:p w:rsidR="00BE0483" w:rsidRPr="00B83D23" w:rsidRDefault="00BE0483" w:rsidP="000D6972">
            <w:pPr>
              <w:spacing w:after="0"/>
              <w:jc w:val="center"/>
              <w:rPr>
                <w:b/>
                <w:sz w:val="20"/>
                <w:szCs w:val="20"/>
              </w:rPr>
            </w:pPr>
          </w:p>
          <w:p w:rsidR="00BE0483" w:rsidRPr="00B83D23" w:rsidRDefault="00BE0483" w:rsidP="000D6972">
            <w:pPr>
              <w:spacing w:after="0"/>
              <w:jc w:val="center"/>
              <w:rPr>
                <w:b/>
                <w:sz w:val="20"/>
                <w:szCs w:val="20"/>
              </w:rPr>
            </w:pPr>
            <w:r w:rsidRPr="00B83D23">
              <w:rPr>
                <w:b/>
                <w:sz w:val="20"/>
                <w:szCs w:val="20"/>
              </w:rPr>
              <w:t>Extreme</w:t>
            </w:r>
          </w:p>
          <w:p w:rsidR="00BE0483" w:rsidRPr="00B83D23" w:rsidRDefault="00BE0483" w:rsidP="000D6972">
            <w:pPr>
              <w:spacing w:after="0"/>
              <w:jc w:val="center"/>
              <w:rPr>
                <w:b/>
                <w:sz w:val="20"/>
                <w:szCs w:val="20"/>
              </w:rPr>
            </w:pPr>
            <w:r w:rsidRPr="00B83D23">
              <w:rPr>
                <w:b/>
                <w:sz w:val="20"/>
                <w:szCs w:val="20"/>
              </w:rPr>
              <w:t>(1)</w:t>
            </w:r>
          </w:p>
          <w:p w:rsidR="00BE0483" w:rsidRPr="00B83D23" w:rsidRDefault="00BE0483" w:rsidP="000D6972">
            <w:pPr>
              <w:spacing w:after="0"/>
              <w:jc w:val="center"/>
              <w:outlineLvl w:val="0"/>
              <w:rPr>
                <w:b/>
                <w:sz w:val="20"/>
                <w:szCs w:val="20"/>
              </w:rPr>
            </w:pPr>
          </w:p>
        </w:tc>
        <w:tc>
          <w:tcPr>
            <w:tcW w:w="1465" w:type="dxa"/>
            <w:gridSpan w:val="2"/>
            <w:tcBorders>
              <w:bottom w:val="single" w:sz="4" w:space="0" w:color="auto"/>
            </w:tcBorders>
            <w:shd w:val="clear" w:color="auto" w:fill="FF7C80"/>
          </w:tcPr>
          <w:p w:rsidR="00BE0483" w:rsidRPr="00B83D23" w:rsidRDefault="00BE0483" w:rsidP="000D6972">
            <w:pPr>
              <w:spacing w:after="0"/>
              <w:jc w:val="center"/>
              <w:rPr>
                <w:b/>
                <w:sz w:val="20"/>
                <w:szCs w:val="20"/>
              </w:rPr>
            </w:pPr>
          </w:p>
          <w:p w:rsidR="00BE0483" w:rsidRPr="00B83D23" w:rsidRDefault="00BE0483" w:rsidP="000D6972">
            <w:pPr>
              <w:spacing w:after="0"/>
              <w:jc w:val="center"/>
              <w:rPr>
                <w:b/>
                <w:sz w:val="20"/>
                <w:szCs w:val="20"/>
              </w:rPr>
            </w:pPr>
            <w:r w:rsidRPr="00B83D23">
              <w:rPr>
                <w:b/>
                <w:sz w:val="20"/>
                <w:szCs w:val="20"/>
              </w:rPr>
              <w:t>Extreme</w:t>
            </w:r>
          </w:p>
          <w:p w:rsidR="00BE0483" w:rsidRPr="00B83D23" w:rsidRDefault="00BE0483" w:rsidP="000D6972">
            <w:pPr>
              <w:spacing w:after="0"/>
              <w:jc w:val="center"/>
              <w:rPr>
                <w:b/>
                <w:sz w:val="20"/>
                <w:szCs w:val="20"/>
              </w:rPr>
            </w:pPr>
            <w:r w:rsidRPr="00B83D23">
              <w:rPr>
                <w:b/>
                <w:sz w:val="20"/>
                <w:szCs w:val="20"/>
              </w:rPr>
              <w:t>(1)</w:t>
            </w:r>
          </w:p>
          <w:p w:rsidR="00BE0483" w:rsidRPr="00B83D23" w:rsidRDefault="00BE0483" w:rsidP="000D6972">
            <w:pPr>
              <w:spacing w:after="0"/>
              <w:jc w:val="center"/>
              <w:outlineLvl w:val="0"/>
              <w:rPr>
                <w:b/>
                <w:sz w:val="20"/>
                <w:szCs w:val="20"/>
              </w:rPr>
            </w:pPr>
          </w:p>
        </w:tc>
        <w:tc>
          <w:tcPr>
            <w:tcW w:w="1465" w:type="dxa"/>
            <w:gridSpan w:val="2"/>
            <w:shd w:val="clear" w:color="auto" w:fill="FFFF00"/>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Major</w:t>
            </w:r>
          </w:p>
          <w:p w:rsidR="00BE0483" w:rsidRPr="00B83D23" w:rsidRDefault="00BE0483" w:rsidP="000D6972">
            <w:pPr>
              <w:spacing w:after="0"/>
              <w:jc w:val="center"/>
              <w:rPr>
                <w:sz w:val="20"/>
                <w:szCs w:val="20"/>
              </w:rPr>
            </w:pPr>
            <w:r w:rsidRPr="00B83D23">
              <w:rPr>
                <w:sz w:val="20"/>
                <w:szCs w:val="20"/>
              </w:rPr>
              <w:t>(2)</w:t>
            </w:r>
          </w:p>
          <w:p w:rsidR="00BE0483" w:rsidRPr="00B83D23" w:rsidRDefault="00BE0483" w:rsidP="000D6972">
            <w:pPr>
              <w:spacing w:after="0"/>
              <w:jc w:val="center"/>
              <w:outlineLvl w:val="0"/>
              <w:rPr>
                <w:sz w:val="20"/>
                <w:szCs w:val="20"/>
              </w:rPr>
            </w:pPr>
          </w:p>
        </w:tc>
        <w:tc>
          <w:tcPr>
            <w:tcW w:w="1465" w:type="dxa"/>
            <w:gridSpan w:val="2"/>
            <w:shd w:val="clear" w:color="auto" w:fill="8DB3E2"/>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Medium</w:t>
            </w:r>
          </w:p>
          <w:p w:rsidR="00BE0483" w:rsidRPr="00B83D23" w:rsidRDefault="00BE0483" w:rsidP="000D6972">
            <w:pPr>
              <w:spacing w:after="0"/>
              <w:jc w:val="center"/>
              <w:rPr>
                <w:sz w:val="20"/>
                <w:szCs w:val="20"/>
              </w:rPr>
            </w:pPr>
            <w:r w:rsidRPr="00B83D23">
              <w:rPr>
                <w:sz w:val="20"/>
                <w:szCs w:val="20"/>
              </w:rPr>
              <w:t>(3)</w:t>
            </w:r>
          </w:p>
          <w:p w:rsidR="00BE0483" w:rsidRPr="00B83D23" w:rsidRDefault="00BE0483" w:rsidP="000D6972">
            <w:pPr>
              <w:spacing w:after="0"/>
              <w:jc w:val="center"/>
              <w:outlineLvl w:val="0"/>
              <w:rPr>
                <w:b/>
                <w:sz w:val="20"/>
                <w:szCs w:val="20"/>
              </w:rPr>
            </w:pPr>
          </w:p>
        </w:tc>
        <w:tc>
          <w:tcPr>
            <w:tcW w:w="1607" w:type="dxa"/>
            <w:shd w:val="clear" w:color="auto" w:fill="CCFFCC"/>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Minor</w:t>
            </w:r>
          </w:p>
          <w:p w:rsidR="00BE0483" w:rsidRPr="00B83D23" w:rsidRDefault="00BE0483" w:rsidP="000D6972">
            <w:pPr>
              <w:spacing w:after="0"/>
              <w:jc w:val="center"/>
              <w:rPr>
                <w:sz w:val="20"/>
                <w:szCs w:val="20"/>
              </w:rPr>
            </w:pPr>
            <w:r w:rsidRPr="00B83D23">
              <w:rPr>
                <w:sz w:val="20"/>
                <w:szCs w:val="20"/>
              </w:rPr>
              <w:t>(4)</w:t>
            </w:r>
          </w:p>
          <w:p w:rsidR="00BE0483" w:rsidRPr="00B83D23" w:rsidRDefault="00BE0483" w:rsidP="000D6972">
            <w:pPr>
              <w:spacing w:after="0"/>
              <w:jc w:val="center"/>
              <w:outlineLvl w:val="0"/>
              <w:rPr>
                <w:b/>
                <w:sz w:val="20"/>
                <w:szCs w:val="20"/>
              </w:rPr>
            </w:pPr>
          </w:p>
        </w:tc>
      </w:tr>
      <w:tr w:rsidR="00BE0483" w:rsidRPr="00B83D23" w:rsidTr="000D6972">
        <w:trPr>
          <w:cantSplit/>
          <w:trHeight w:val="80"/>
          <w:jc w:val="center"/>
        </w:trPr>
        <w:tc>
          <w:tcPr>
            <w:tcW w:w="1464" w:type="dxa"/>
            <w:gridSpan w:val="2"/>
            <w:shd w:val="clear" w:color="auto" w:fill="003366"/>
          </w:tcPr>
          <w:p w:rsidR="00BE0483" w:rsidRPr="00B83D23" w:rsidRDefault="00BE0483" w:rsidP="000D6972">
            <w:pPr>
              <w:spacing w:after="0"/>
              <w:jc w:val="center"/>
              <w:rPr>
                <w:b/>
                <w:color w:val="FFFFFF"/>
                <w:sz w:val="20"/>
                <w:szCs w:val="20"/>
              </w:rPr>
            </w:pPr>
          </w:p>
          <w:p w:rsidR="00BE0483" w:rsidRPr="00B83D23" w:rsidRDefault="00BE0483" w:rsidP="000D6972">
            <w:pPr>
              <w:spacing w:after="0"/>
              <w:jc w:val="center"/>
              <w:rPr>
                <w:b/>
                <w:color w:val="FFFFFF"/>
                <w:sz w:val="20"/>
                <w:szCs w:val="20"/>
              </w:rPr>
            </w:pPr>
            <w:r w:rsidRPr="00B83D23">
              <w:rPr>
                <w:b/>
                <w:color w:val="FFFFFF"/>
                <w:sz w:val="20"/>
                <w:szCs w:val="20"/>
              </w:rPr>
              <w:t>3</w:t>
            </w:r>
          </w:p>
          <w:p w:rsidR="00BE0483" w:rsidRPr="00B83D23" w:rsidRDefault="00BE0483" w:rsidP="000D6972">
            <w:pPr>
              <w:spacing w:after="0"/>
              <w:jc w:val="center"/>
              <w:rPr>
                <w:b/>
                <w:color w:val="FFFFFF"/>
                <w:sz w:val="20"/>
                <w:szCs w:val="20"/>
              </w:rPr>
            </w:pPr>
            <w:r w:rsidRPr="00B83D23">
              <w:rPr>
                <w:b/>
                <w:color w:val="FFFFFF"/>
                <w:sz w:val="20"/>
                <w:szCs w:val="20"/>
              </w:rPr>
              <w:t>Possible</w:t>
            </w:r>
          </w:p>
        </w:tc>
        <w:tc>
          <w:tcPr>
            <w:tcW w:w="1464" w:type="dxa"/>
            <w:gridSpan w:val="2"/>
            <w:tcBorders>
              <w:bottom w:val="single" w:sz="4" w:space="0" w:color="auto"/>
            </w:tcBorders>
            <w:shd w:val="clear" w:color="auto" w:fill="FF7C80"/>
          </w:tcPr>
          <w:p w:rsidR="00BE0483" w:rsidRPr="00B83D23" w:rsidRDefault="00BE0483" w:rsidP="000D6972">
            <w:pPr>
              <w:spacing w:after="0"/>
              <w:jc w:val="center"/>
              <w:rPr>
                <w:b/>
                <w:sz w:val="20"/>
                <w:szCs w:val="20"/>
              </w:rPr>
            </w:pPr>
          </w:p>
          <w:p w:rsidR="00BE0483" w:rsidRPr="00B83D23" w:rsidRDefault="00BE0483" w:rsidP="000D6972">
            <w:pPr>
              <w:spacing w:after="0"/>
              <w:jc w:val="center"/>
              <w:rPr>
                <w:b/>
                <w:sz w:val="20"/>
                <w:szCs w:val="20"/>
              </w:rPr>
            </w:pPr>
            <w:r w:rsidRPr="00B83D23">
              <w:rPr>
                <w:b/>
                <w:sz w:val="20"/>
                <w:szCs w:val="20"/>
              </w:rPr>
              <w:t>Extreme</w:t>
            </w:r>
          </w:p>
          <w:p w:rsidR="00BE0483" w:rsidRPr="00B83D23" w:rsidRDefault="00BE0483" w:rsidP="000D6972">
            <w:pPr>
              <w:spacing w:after="0"/>
              <w:jc w:val="center"/>
              <w:rPr>
                <w:b/>
                <w:sz w:val="20"/>
                <w:szCs w:val="20"/>
              </w:rPr>
            </w:pPr>
            <w:r w:rsidRPr="00B83D23">
              <w:rPr>
                <w:b/>
                <w:sz w:val="20"/>
                <w:szCs w:val="20"/>
              </w:rPr>
              <w:t>(1)</w:t>
            </w:r>
          </w:p>
          <w:p w:rsidR="00BE0483" w:rsidRPr="00B83D23" w:rsidRDefault="00BE0483" w:rsidP="000D6972">
            <w:pPr>
              <w:spacing w:after="0"/>
              <w:jc w:val="center"/>
              <w:outlineLvl w:val="0"/>
              <w:rPr>
                <w:b/>
                <w:sz w:val="20"/>
                <w:szCs w:val="20"/>
              </w:rPr>
            </w:pPr>
          </w:p>
        </w:tc>
        <w:tc>
          <w:tcPr>
            <w:tcW w:w="1465" w:type="dxa"/>
            <w:gridSpan w:val="2"/>
            <w:shd w:val="clear" w:color="auto" w:fill="FFFF00"/>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Major</w:t>
            </w:r>
          </w:p>
          <w:p w:rsidR="00BE0483" w:rsidRPr="00B83D23" w:rsidRDefault="00BE0483" w:rsidP="000D6972">
            <w:pPr>
              <w:spacing w:after="0"/>
              <w:jc w:val="center"/>
              <w:rPr>
                <w:sz w:val="20"/>
                <w:szCs w:val="20"/>
              </w:rPr>
            </w:pPr>
            <w:r w:rsidRPr="00B83D23">
              <w:rPr>
                <w:sz w:val="20"/>
                <w:szCs w:val="20"/>
              </w:rPr>
              <w:t>(2)</w:t>
            </w:r>
          </w:p>
          <w:p w:rsidR="00BE0483" w:rsidRPr="00B83D23" w:rsidRDefault="00BE0483" w:rsidP="000D6972">
            <w:pPr>
              <w:spacing w:after="0"/>
              <w:jc w:val="center"/>
              <w:outlineLvl w:val="0"/>
              <w:rPr>
                <w:b/>
                <w:sz w:val="20"/>
                <w:szCs w:val="20"/>
              </w:rPr>
            </w:pPr>
          </w:p>
        </w:tc>
        <w:tc>
          <w:tcPr>
            <w:tcW w:w="1465" w:type="dxa"/>
            <w:gridSpan w:val="2"/>
            <w:tcBorders>
              <w:bottom w:val="single" w:sz="4" w:space="0" w:color="auto"/>
            </w:tcBorders>
            <w:shd w:val="clear" w:color="auto" w:fill="FFFF00"/>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Major</w:t>
            </w:r>
          </w:p>
          <w:p w:rsidR="00BE0483" w:rsidRPr="00B83D23" w:rsidRDefault="00BE0483" w:rsidP="000D6972">
            <w:pPr>
              <w:spacing w:after="0"/>
              <w:jc w:val="center"/>
              <w:rPr>
                <w:sz w:val="20"/>
                <w:szCs w:val="20"/>
              </w:rPr>
            </w:pPr>
            <w:r w:rsidRPr="00B83D23">
              <w:rPr>
                <w:sz w:val="20"/>
                <w:szCs w:val="20"/>
              </w:rPr>
              <w:t>(2)</w:t>
            </w:r>
          </w:p>
          <w:p w:rsidR="00BE0483" w:rsidRPr="00B83D23" w:rsidRDefault="00BE0483" w:rsidP="000D6972">
            <w:pPr>
              <w:spacing w:after="0"/>
              <w:jc w:val="center"/>
              <w:outlineLvl w:val="0"/>
              <w:rPr>
                <w:sz w:val="20"/>
                <w:szCs w:val="20"/>
              </w:rPr>
            </w:pPr>
          </w:p>
        </w:tc>
        <w:tc>
          <w:tcPr>
            <w:tcW w:w="1465" w:type="dxa"/>
            <w:gridSpan w:val="2"/>
            <w:tcBorders>
              <w:bottom w:val="single" w:sz="4" w:space="0" w:color="auto"/>
            </w:tcBorders>
            <w:shd w:val="clear" w:color="auto" w:fill="8DB3E2"/>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Medium</w:t>
            </w:r>
          </w:p>
          <w:p w:rsidR="00BE0483" w:rsidRPr="00B83D23" w:rsidRDefault="00BE0483" w:rsidP="000D6972">
            <w:pPr>
              <w:spacing w:after="0"/>
              <w:jc w:val="center"/>
              <w:rPr>
                <w:sz w:val="20"/>
                <w:szCs w:val="20"/>
              </w:rPr>
            </w:pPr>
            <w:r w:rsidRPr="00B83D23">
              <w:rPr>
                <w:sz w:val="20"/>
                <w:szCs w:val="20"/>
              </w:rPr>
              <w:t>(3)</w:t>
            </w:r>
          </w:p>
          <w:p w:rsidR="00BE0483" w:rsidRPr="00B83D23" w:rsidRDefault="00BE0483" w:rsidP="000D6972">
            <w:pPr>
              <w:spacing w:after="0"/>
              <w:jc w:val="center"/>
              <w:outlineLvl w:val="0"/>
              <w:rPr>
                <w:b/>
                <w:sz w:val="20"/>
                <w:szCs w:val="20"/>
              </w:rPr>
            </w:pPr>
          </w:p>
        </w:tc>
        <w:tc>
          <w:tcPr>
            <w:tcW w:w="1607" w:type="dxa"/>
            <w:shd w:val="clear" w:color="auto" w:fill="CCFFCC"/>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Minor</w:t>
            </w:r>
          </w:p>
          <w:p w:rsidR="00BE0483" w:rsidRPr="00B83D23" w:rsidRDefault="00BE0483" w:rsidP="000D6972">
            <w:pPr>
              <w:spacing w:after="0"/>
              <w:jc w:val="center"/>
              <w:rPr>
                <w:sz w:val="20"/>
                <w:szCs w:val="20"/>
              </w:rPr>
            </w:pPr>
            <w:r w:rsidRPr="00B83D23">
              <w:rPr>
                <w:sz w:val="20"/>
                <w:szCs w:val="20"/>
              </w:rPr>
              <w:t>(4)</w:t>
            </w:r>
          </w:p>
          <w:p w:rsidR="00BE0483" w:rsidRPr="00B83D23" w:rsidRDefault="00BE0483" w:rsidP="000D6972">
            <w:pPr>
              <w:spacing w:after="0"/>
              <w:jc w:val="center"/>
              <w:outlineLvl w:val="0"/>
              <w:rPr>
                <w:b/>
                <w:sz w:val="20"/>
                <w:szCs w:val="20"/>
              </w:rPr>
            </w:pPr>
          </w:p>
        </w:tc>
      </w:tr>
      <w:tr w:rsidR="00BE0483" w:rsidRPr="00B83D23" w:rsidTr="000D6972">
        <w:trPr>
          <w:cantSplit/>
          <w:trHeight w:val="80"/>
          <w:jc w:val="center"/>
        </w:trPr>
        <w:tc>
          <w:tcPr>
            <w:tcW w:w="1464" w:type="dxa"/>
            <w:gridSpan w:val="2"/>
            <w:shd w:val="clear" w:color="auto" w:fill="003366"/>
          </w:tcPr>
          <w:p w:rsidR="00BE0483" w:rsidRPr="00B83D23" w:rsidRDefault="00BE0483" w:rsidP="000D6972">
            <w:pPr>
              <w:spacing w:after="0"/>
              <w:jc w:val="center"/>
              <w:rPr>
                <w:b/>
                <w:color w:val="FFFFFF"/>
                <w:sz w:val="20"/>
                <w:szCs w:val="20"/>
              </w:rPr>
            </w:pPr>
          </w:p>
          <w:p w:rsidR="00BE0483" w:rsidRPr="00B83D23" w:rsidRDefault="00BE0483" w:rsidP="000D6972">
            <w:pPr>
              <w:spacing w:after="0"/>
              <w:jc w:val="center"/>
              <w:rPr>
                <w:b/>
                <w:color w:val="FFFFFF"/>
                <w:sz w:val="20"/>
                <w:szCs w:val="20"/>
              </w:rPr>
            </w:pPr>
            <w:r w:rsidRPr="00B83D23">
              <w:rPr>
                <w:b/>
                <w:color w:val="FFFFFF"/>
                <w:sz w:val="20"/>
                <w:szCs w:val="20"/>
              </w:rPr>
              <w:t>2</w:t>
            </w:r>
          </w:p>
          <w:p w:rsidR="00BE0483" w:rsidRPr="00B83D23" w:rsidRDefault="00BE0483" w:rsidP="000D6972">
            <w:pPr>
              <w:spacing w:after="0"/>
              <w:jc w:val="center"/>
              <w:rPr>
                <w:b/>
                <w:color w:val="FFFFFF"/>
                <w:sz w:val="20"/>
                <w:szCs w:val="20"/>
              </w:rPr>
            </w:pPr>
            <w:r w:rsidRPr="00B83D23">
              <w:rPr>
                <w:b/>
                <w:color w:val="FFFFFF"/>
                <w:sz w:val="20"/>
                <w:szCs w:val="20"/>
              </w:rPr>
              <w:t>Unlikely</w:t>
            </w:r>
          </w:p>
        </w:tc>
        <w:tc>
          <w:tcPr>
            <w:tcW w:w="1464" w:type="dxa"/>
            <w:gridSpan w:val="2"/>
            <w:tcBorders>
              <w:bottom w:val="single" w:sz="4" w:space="0" w:color="auto"/>
            </w:tcBorders>
            <w:shd w:val="clear" w:color="auto" w:fill="FFFF00"/>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Major</w:t>
            </w:r>
          </w:p>
          <w:p w:rsidR="00BE0483" w:rsidRPr="00B83D23" w:rsidRDefault="00BE0483" w:rsidP="000D6972">
            <w:pPr>
              <w:spacing w:after="0"/>
              <w:jc w:val="center"/>
              <w:rPr>
                <w:sz w:val="20"/>
                <w:szCs w:val="20"/>
              </w:rPr>
            </w:pPr>
            <w:r w:rsidRPr="00B83D23">
              <w:rPr>
                <w:sz w:val="20"/>
                <w:szCs w:val="20"/>
              </w:rPr>
              <w:t>(2)</w:t>
            </w:r>
          </w:p>
          <w:p w:rsidR="00BE0483" w:rsidRPr="00B83D23" w:rsidRDefault="00BE0483" w:rsidP="000D6972">
            <w:pPr>
              <w:spacing w:after="0"/>
              <w:jc w:val="center"/>
              <w:outlineLvl w:val="0"/>
              <w:rPr>
                <w:b/>
                <w:sz w:val="20"/>
                <w:szCs w:val="20"/>
              </w:rPr>
            </w:pPr>
          </w:p>
        </w:tc>
        <w:tc>
          <w:tcPr>
            <w:tcW w:w="1465" w:type="dxa"/>
            <w:gridSpan w:val="2"/>
            <w:tcBorders>
              <w:bottom w:val="single" w:sz="4" w:space="0" w:color="auto"/>
            </w:tcBorders>
            <w:shd w:val="clear" w:color="auto" w:fill="FFFF00"/>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Major</w:t>
            </w:r>
          </w:p>
          <w:p w:rsidR="00BE0483" w:rsidRPr="00B83D23" w:rsidRDefault="00BE0483" w:rsidP="000D6972">
            <w:pPr>
              <w:spacing w:after="0"/>
              <w:jc w:val="center"/>
              <w:rPr>
                <w:sz w:val="20"/>
                <w:szCs w:val="20"/>
              </w:rPr>
            </w:pPr>
            <w:r w:rsidRPr="00B83D23">
              <w:rPr>
                <w:sz w:val="20"/>
                <w:szCs w:val="20"/>
              </w:rPr>
              <w:t>(2)</w:t>
            </w:r>
          </w:p>
          <w:p w:rsidR="00BE0483" w:rsidRPr="00B83D23" w:rsidRDefault="00BE0483" w:rsidP="000D6972">
            <w:pPr>
              <w:spacing w:after="0"/>
              <w:jc w:val="center"/>
              <w:outlineLvl w:val="0"/>
              <w:rPr>
                <w:b/>
                <w:sz w:val="20"/>
                <w:szCs w:val="20"/>
              </w:rPr>
            </w:pPr>
          </w:p>
        </w:tc>
        <w:tc>
          <w:tcPr>
            <w:tcW w:w="1465" w:type="dxa"/>
            <w:gridSpan w:val="2"/>
            <w:tcBorders>
              <w:top w:val="single" w:sz="4" w:space="0" w:color="auto"/>
              <w:bottom w:val="single" w:sz="4" w:space="0" w:color="auto"/>
            </w:tcBorders>
            <w:shd w:val="clear" w:color="auto" w:fill="8DB3E2"/>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Medium</w:t>
            </w:r>
          </w:p>
          <w:p w:rsidR="00BE0483" w:rsidRPr="00B83D23" w:rsidRDefault="00BE0483" w:rsidP="000D6972">
            <w:pPr>
              <w:spacing w:after="0"/>
              <w:jc w:val="center"/>
              <w:rPr>
                <w:sz w:val="20"/>
                <w:szCs w:val="20"/>
              </w:rPr>
            </w:pPr>
            <w:r w:rsidRPr="00B83D23">
              <w:rPr>
                <w:sz w:val="20"/>
                <w:szCs w:val="20"/>
              </w:rPr>
              <w:t>(3)</w:t>
            </w:r>
          </w:p>
          <w:p w:rsidR="00BE0483" w:rsidRPr="00B83D23" w:rsidRDefault="00BE0483" w:rsidP="000D6972">
            <w:pPr>
              <w:spacing w:after="0"/>
              <w:jc w:val="center"/>
              <w:outlineLvl w:val="0"/>
              <w:rPr>
                <w:b/>
                <w:sz w:val="20"/>
                <w:szCs w:val="20"/>
              </w:rPr>
            </w:pPr>
          </w:p>
        </w:tc>
        <w:tc>
          <w:tcPr>
            <w:tcW w:w="1465" w:type="dxa"/>
            <w:gridSpan w:val="2"/>
            <w:shd w:val="clear" w:color="auto" w:fill="CCFFCC"/>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Minor</w:t>
            </w:r>
          </w:p>
          <w:p w:rsidR="00BE0483" w:rsidRPr="00B83D23" w:rsidRDefault="00BE0483" w:rsidP="000D6972">
            <w:pPr>
              <w:spacing w:after="0"/>
              <w:jc w:val="center"/>
              <w:rPr>
                <w:sz w:val="20"/>
                <w:szCs w:val="20"/>
              </w:rPr>
            </w:pPr>
            <w:r w:rsidRPr="00B83D23">
              <w:rPr>
                <w:sz w:val="20"/>
                <w:szCs w:val="20"/>
              </w:rPr>
              <w:t>(4)</w:t>
            </w:r>
          </w:p>
          <w:p w:rsidR="00BE0483" w:rsidRPr="00B83D23" w:rsidRDefault="00BE0483" w:rsidP="000D6972">
            <w:pPr>
              <w:spacing w:after="0"/>
              <w:jc w:val="center"/>
              <w:outlineLvl w:val="0"/>
              <w:rPr>
                <w:b/>
                <w:sz w:val="20"/>
                <w:szCs w:val="20"/>
              </w:rPr>
            </w:pPr>
          </w:p>
        </w:tc>
        <w:tc>
          <w:tcPr>
            <w:tcW w:w="1607" w:type="dxa"/>
            <w:shd w:val="clear" w:color="auto" w:fill="CCFFCC"/>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Minor</w:t>
            </w:r>
          </w:p>
          <w:p w:rsidR="00BE0483" w:rsidRPr="00B83D23" w:rsidRDefault="00BE0483" w:rsidP="000D6972">
            <w:pPr>
              <w:spacing w:after="0"/>
              <w:jc w:val="center"/>
              <w:rPr>
                <w:sz w:val="20"/>
                <w:szCs w:val="20"/>
              </w:rPr>
            </w:pPr>
            <w:r w:rsidRPr="00B83D23">
              <w:rPr>
                <w:sz w:val="20"/>
                <w:szCs w:val="20"/>
              </w:rPr>
              <w:t>(4)</w:t>
            </w:r>
          </w:p>
          <w:p w:rsidR="00BE0483" w:rsidRPr="00B83D23" w:rsidRDefault="00BE0483" w:rsidP="000D6972">
            <w:pPr>
              <w:spacing w:after="0"/>
              <w:jc w:val="center"/>
              <w:outlineLvl w:val="0"/>
              <w:rPr>
                <w:b/>
                <w:sz w:val="20"/>
                <w:szCs w:val="20"/>
              </w:rPr>
            </w:pPr>
          </w:p>
        </w:tc>
      </w:tr>
      <w:tr w:rsidR="00BE0483" w:rsidRPr="00B83D23" w:rsidTr="000D6972">
        <w:trPr>
          <w:cantSplit/>
          <w:trHeight w:val="80"/>
          <w:jc w:val="center"/>
        </w:trPr>
        <w:tc>
          <w:tcPr>
            <w:tcW w:w="1464" w:type="dxa"/>
            <w:gridSpan w:val="2"/>
            <w:shd w:val="clear" w:color="auto" w:fill="003366"/>
          </w:tcPr>
          <w:p w:rsidR="00BE0483" w:rsidRPr="00B83D23" w:rsidRDefault="00BE0483" w:rsidP="000D6972">
            <w:pPr>
              <w:spacing w:after="0"/>
              <w:jc w:val="center"/>
              <w:rPr>
                <w:b/>
                <w:color w:val="FFFFFF"/>
                <w:sz w:val="20"/>
                <w:szCs w:val="20"/>
              </w:rPr>
            </w:pPr>
          </w:p>
          <w:p w:rsidR="00BE0483" w:rsidRPr="00B83D23" w:rsidRDefault="00BE0483" w:rsidP="000D6972">
            <w:pPr>
              <w:spacing w:after="0"/>
              <w:jc w:val="center"/>
              <w:rPr>
                <w:b/>
                <w:color w:val="FFFFFF"/>
                <w:sz w:val="20"/>
                <w:szCs w:val="20"/>
              </w:rPr>
            </w:pPr>
            <w:r w:rsidRPr="00B83D23">
              <w:rPr>
                <w:b/>
                <w:color w:val="FFFFFF"/>
                <w:sz w:val="20"/>
                <w:szCs w:val="20"/>
              </w:rPr>
              <w:t>1</w:t>
            </w:r>
          </w:p>
          <w:p w:rsidR="00BE0483" w:rsidRPr="00B83D23" w:rsidRDefault="00BE0483" w:rsidP="000D6972">
            <w:pPr>
              <w:spacing w:after="0"/>
              <w:jc w:val="center"/>
              <w:rPr>
                <w:b/>
                <w:color w:val="FFFFFF"/>
                <w:sz w:val="20"/>
                <w:szCs w:val="20"/>
              </w:rPr>
            </w:pPr>
            <w:r w:rsidRPr="00B83D23">
              <w:rPr>
                <w:b/>
                <w:color w:val="FFFFFF"/>
                <w:sz w:val="20"/>
                <w:szCs w:val="20"/>
              </w:rPr>
              <w:t>Rare</w:t>
            </w:r>
          </w:p>
        </w:tc>
        <w:tc>
          <w:tcPr>
            <w:tcW w:w="1464" w:type="dxa"/>
            <w:gridSpan w:val="2"/>
            <w:tcBorders>
              <w:top w:val="single" w:sz="4" w:space="0" w:color="auto"/>
            </w:tcBorders>
            <w:shd w:val="clear" w:color="auto" w:fill="8DB3E2"/>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Medium</w:t>
            </w:r>
          </w:p>
          <w:p w:rsidR="00BE0483" w:rsidRPr="00B83D23" w:rsidRDefault="00BE0483" w:rsidP="000D6972">
            <w:pPr>
              <w:spacing w:after="0"/>
              <w:jc w:val="center"/>
              <w:rPr>
                <w:sz w:val="20"/>
                <w:szCs w:val="20"/>
              </w:rPr>
            </w:pPr>
            <w:r w:rsidRPr="00B83D23">
              <w:rPr>
                <w:sz w:val="20"/>
                <w:szCs w:val="20"/>
              </w:rPr>
              <w:t>(3)</w:t>
            </w:r>
          </w:p>
          <w:p w:rsidR="00BE0483" w:rsidRPr="00B83D23" w:rsidRDefault="00BE0483" w:rsidP="000D6972">
            <w:pPr>
              <w:spacing w:after="0"/>
              <w:jc w:val="center"/>
              <w:outlineLvl w:val="0"/>
              <w:rPr>
                <w:b/>
                <w:sz w:val="20"/>
                <w:szCs w:val="20"/>
              </w:rPr>
            </w:pPr>
          </w:p>
        </w:tc>
        <w:tc>
          <w:tcPr>
            <w:tcW w:w="1465" w:type="dxa"/>
            <w:gridSpan w:val="2"/>
            <w:tcBorders>
              <w:top w:val="single" w:sz="4" w:space="0" w:color="auto"/>
            </w:tcBorders>
            <w:shd w:val="clear" w:color="auto" w:fill="8DB3E2"/>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Medium</w:t>
            </w:r>
          </w:p>
          <w:p w:rsidR="00BE0483" w:rsidRPr="00B83D23" w:rsidRDefault="00BE0483" w:rsidP="000D6972">
            <w:pPr>
              <w:spacing w:after="0"/>
              <w:jc w:val="center"/>
              <w:rPr>
                <w:sz w:val="20"/>
                <w:szCs w:val="20"/>
              </w:rPr>
            </w:pPr>
            <w:r w:rsidRPr="00B83D23">
              <w:rPr>
                <w:sz w:val="20"/>
                <w:szCs w:val="20"/>
              </w:rPr>
              <w:t>(3)</w:t>
            </w:r>
          </w:p>
          <w:p w:rsidR="00BE0483" w:rsidRPr="00B83D23" w:rsidRDefault="00BE0483" w:rsidP="000D6972">
            <w:pPr>
              <w:spacing w:after="0"/>
              <w:jc w:val="center"/>
              <w:outlineLvl w:val="0"/>
              <w:rPr>
                <w:b/>
                <w:sz w:val="20"/>
                <w:szCs w:val="20"/>
              </w:rPr>
            </w:pPr>
          </w:p>
        </w:tc>
        <w:tc>
          <w:tcPr>
            <w:tcW w:w="1465" w:type="dxa"/>
            <w:gridSpan w:val="2"/>
            <w:shd w:val="clear" w:color="auto" w:fill="CCFFCC"/>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Minor</w:t>
            </w:r>
          </w:p>
          <w:p w:rsidR="00BE0483" w:rsidRPr="00B83D23" w:rsidRDefault="00BE0483" w:rsidP="000D6972">
            <w:pPr>
              <w:spacing w:after="0"/>
              <w:jc w:val="center"/>
              <w:rPr>
                <w:sz w:val="20"/>
                <w:szCs w:val="20"/>
              </w:rPr>
            </w:pPr>
            <w:r w:rsidRPr="00B83D23">
              <w:rPr>
                <w:sz w:val="20"/>
                <w:szCs w:val="20"/>
              </w:rPr>
              <w:t>(4)</w:t>
            </w:r>
          </w:p>
          <w:p w:rsidR="00BE0483" w:rsidRPr="00B83D23" w:rsidRDefault="00BE0483" w:rsidP="000D6972">
            <w:pPr>
              <w:spacing w:after="0"/>
              <w:jc w:val="center"/>
              <w:outlineLvl w:val="0"/>
              <w:rPr>
                <w:b/>
                <w:sz w:val="20"/>
                <w:szCs w:val="20"/>
              </w:rPr>
            </w:pPr>
          </w:p>
        </w:tc>
        <w:tc>
          <w:tcPr>
            <w:tcW w:w="1465" w:type="dxa"/>
            <w:gridSpan w:val="2"/>
            <w:shd w:val="clear" w:color="auto" w:fill="CCFFCC"/>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Minor</w:t>
            </w:r>
          </w:p>
          <w:p w:rsidR="00BE0483" w:rsidRPr="00B83D23" w:rsidRDefault="00BE0483" w:rsidP="000D6972">
            <w:pPr>
              <w:spacing w:after="0"/>
              <w:jc w:val="center"/>
              <w:rPr>
                <w:sz w:val="20"/>
                <w:szCs w:val="20"/>
              </w:rPr>
            </w:pPr>
            <w:r w:rsidRPr="00B83D23">
              <w:rPr>
                <w:sz w:val="20"/>
                <w:szCs w:val="20"/>
              </w:rPr>
              <w:t>(4)</w:t>
            </w:r>
          </w:p>
          <w:p w:rsidR="00BE0483" w:rsidRPr="00B83D23" w:rsidRDefault="00BE0483" w:rsidP="000D6972">
            <w:pPr>
              <w:spacing w:after="0"/>
              <w:jc w:val="center"/>
              <w:outlineLvl w:val="0"/>
              <w:rPr>
                <w:b/>
                <w:sz w:val="20"/>
                <w:szCs w:val="20"/>
              </w:rPr>
            </w:pPr>
          </w:p>
        </w:tc>
        <w:tc>
          <w:tcPr>
            <w:tcW w:w="1607" w:type="dxa"/>
            <w:shd w:val="clear" w:color="auto" w:fill="CCFFCC"/>
          </w:tcPr>
          <w:p w:rsidR="00BE0483" w:rsidRPr="00B83D23" w:rsidRDefault="00BE0483" w:rsidP="000D6972">
            <w:pPr>
              <w:spacing w:after="0"/>
              <w:jc w:val="center"/>
              <w:rPr>
                <w:sz w:val="20"/>
                <w:szCs w:val="20"/>
              </w:rPr>
            </w:pPr>
          </w:p>
          <w:p w:rsidR="00BE0483" w:rsidRPr="00B83D23" w:rsidRDefault="00BE0483" w:rsidP="000D6972">
            <w:pPr>
              <w:spacing w:after="0"/>
              <w:jc w:val="center"/>
              <w:rPr>
                <w:sz w:val="20"/>
                <w:szCs w:val="20"/>
              </w:rPr>
            </w:pPr>
            <w:r w:rsidRPr="00B83D23">
              <w:rPr>
                <w:sz w:val="20"/>
                <w:szCs w:val="20"/>
              </w:rPr>
              <w:t>Minor</w:t>
            </w:r>
          </w:p>
          <w:p w:rsidR="00BE0483" w:rsidRPr="00B83D23" w:rsidRDefault="00BE0483" w:rsidP="000D6972">
            <w:pPr>
              <w:spacing w:after="0"/>
              <w:jc w:val="center"/>
              <w:rPr>
                <w:sz w:val="20"/>
                <w:szCs w:val="20"/>
              </w:rPr>
            </w:pPr>
            <w:r w:rsidRPr="00B83D23">
              <w:rPr>
                <w:sz w:val="20"/>
                <w:szCs w:val="20"/>
              </w:rPr>
              <w:t>(4)</w:t>
            </w:r>
          </w:p>
          <w:p w:rsidR="00BE0483" w:rsidRPr="00B83D23" w:rsidRDefault="00BE0483" w:rsidP="000D6972">
            <w:pPr>
              <w:spacing w:after="0"/>
              <w:jc w:val="center"/>
              <w:outlineLvl w:val="0"/>
              <w:rPr>
                <w:b/>
                <w:sz w:val="20"/>
                <w:szCs w:val="20"/>
              </w:rPr>
            </w:pPr>
          </w:p>
        </w:tc>
      </w:tr>
    </w:tbl>
    <w:p w:rsidR="00BE0483" w:rsidRPr="00DD0BC7" w:rsidRDefault="00BE0483" w:rsidP="00BE0483">
      <w:pPr>
        <w:spacing w:after="0"/>
        <w:outlineLvl w:val="0"/>
        <w:rPr>
          <w:b/>
        </w:rPr>
      </w:pPr>
    </w:p>
    <w:p w:rsidR="00BE0483" w:rsidRPr="00DD0BC7" w:rsidRDefault="00BE0483" w:rsidP="00BE0483">
      <w:pPr>
        <w:pStyle w:val="BodyTextIndent2"/>
        <w:spacing w:after="0" w:line="240" w:lineRule="auto"/>
        <w:ind w:left="0"/>
        <w:rPr>
          <w:b/>
        </w:rPr>
      </w:pPr>
      <w:r w:rsidRPr="00DD0BC7">
        <w:rPr>
          <w:b/>
        </w:rPr>
        <w:t>Key:</w:t>
      </w:r>
    </w:p>
    <w:p w:rsidR="00BE0483" w:rsidRPr="00DD0BC7" w:rsidRDefault="00BE0483" w:rsidP="00BE0483">
      <w:pPr>
        <w:spacing w:after="0"/>
      </w:pPr>
    </w:p>
    <w:tbl>
      <w:tblPr>
        <w:tblW w:w="9027"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21"/>
        <w:gridCol w:w="7706"/>
      </w:tblGrid>
      <w:tr w:rsidR="00BE0483" w:rsidRPr="00DD0BC7" w:rsidTr="000D6972">
        <w:trPr>
          <w:jc w:val="center"/>
        </w:trPr>
        <w:tc>
          <w:tcPr>
            <w:tcW w:w="1321" w:type="dxa"/>
            <w:tcBorders>
              <w:bottom w:val="single" w:sz="4" w:space="0" w:color="auto"/>
            </w:tcBorders>
            <w:shd w:val="clear" w:color="auto" w:fill="FF7C80"/>
          </w:tcPr>
          <w:p w:rsidR="00BE0483" w:rsidRPr="00DD0BC7" w:rsidRDefault="00BE0483" w:rsidP="000D6972">
            <w:pPr>
              <w:spacing w:after="120"/>
              <w:rPr>
                <w:b/>
              </w:rPr>
            </w:pPr>
            <w:r w:rsidRPr="00DD0BC7">
              <w:rPr>
                <w:b/>
              </w:rPr>
              <w:t>Extreme</w:t>
            </w:r>
          </w:p>
        </w:tc>
        <w:tc>
          <w:tcPr>
            <w:tcW w:w="7706" w:type="dxa"/>
            <w:tcBorders>
              <w:bottom w:val="single" w:sz="4" w:space="0" w:color="auto"/>
            </w:tcBorders>
            <w:shd w:val="clear" w:color="auto" w:fill="FF7C80"/>
          </w:tcPr>
          <w:p w:rsidR="00BE0483" w:rsidRPr="00DD0BC7" w:rsidRDefault="00BE0483" w:rsidP="000D6972">
            <w:pPr>
              <w:pStyle w:val="TxBrp12"/>
              <w:widowControl/>
              <w:spacing w:after="120" w:line="240" w:lineRule="auto"/>
              <w:rPr>
                <w:rFonts w:ascii="Calibri" w:hAnsi="Calibri"/>
              </w:rPr>
            </w:pPr>
            <w:r w:rsidRPr="00DD0BC7">
              <w:rPr>
                <w:rFonts w:ascii="Calibri" w:hAnsi="Calibri"/>
              </w:rPr>
              <w:t>Extreme risks that are likely to arise and have potentially serious consequences requiring urgent attention</w:t>
            </w:r>
          </w:p>
        </w:tc>
      </w:tr>
      <w:tr w:rsidR="00BE0483" w:rsidRPr="00DD0BC7" w:rsidTr="000D6972">
        <w:trPr>
          <w:jc w:val="center"/>
        </w:trPr>
        <w:tc>
          <w:tcPr>
            <w:tcW w:w="1321" w:type="dxa"/>
            <w:tcBorders>
              <w:bottom w:val="single" w:sz="4" w:space="0" w:color="auto"/>
            </w:tcBorders>
            <w:shd w:val="clear" w:color="auto" w:fill="FFFF00"/>
          </w:tcPr>
          <w:p w:rsidR="00BE0483" w:rsidRPr="00DD0BC7" w:rsidRDefault="00BE0483" w:rsidP="000D6972">
            <w:pPr>
              <w:spacing w:after="120"/>
              <w:rPr>
                <w:b/>
              </w:rPr>
            </w:pPr>
            <w:r w:rsidRPr="00DD0BC7">
              <w:rPr>
                <w:b/>
              </w:rPr>
              <w:t>Major</w:t>
            </w:r>
          </w:p>
        </w:tc>
        <w:tc>
          <w:tcPr>
            <w:tcW w:w="7706" w:type="dxa"/>
            <w:tcBorders>
              <w:bottom w:val="single" w:sz="4" w:space="0" w:color="auto"/>
            </w:tcBorders>
            <w:shd w:val="clear" w:color="auto" w:fill="FFFF00"/>
          </w:tcPr>
          <w:p w:rsidR="00BE0483" w:rsidRPr="00DD0BC7" w:rsidRDefault="00BE0483" w:rsidP="000D6972">
            <w:pPr>
              <w:spacing w:after="120"/>
              <w:jc w:val="both"/>
            </w:pPr>
            <w:r w:rsidRPr="00DD0BC7">
              <w:t>Major risks that are likely to arise and have potentially serious consequences requiring urgent attention or investigation</w:t>
            </w:r>
          </w:p>
        </w:tc>
      </w:tr>
      <w:tr w:rsidR="00BE0483" w:rsidRPr="00DD0BC7" w:rsidTr="000D6972">
        <w:trPr>
          <w:jc w:val="center"/>
        </w:trPr>
        <w:tc>
          <w:tcPr>
            <w:tcW w:w="1321" w:type="dxa"/>
            <w:tcBorders>
              <w:bottom w:val="single" w:sz="4" w:space="0" w:color="auto"/>
            </w:tcBorders>
            <w:shd w:val="clear" w:color="auto" w:fill="8DB3E2"/>
          </w:tcPr>
          <w:p w:rsidR="00BE0483" w:rsidRPr="00DD0BC7" w:rsidRDefault="00BE0483" w:rsidP="000D6972">
            <w:pPr>
              <w:spacing w:after="120"/>
              <w:rPr>
                <w:b/>
              </w:rPr>
            </w:pPr>
            <w:r w:rsidRPr="00DD0BC7">
              <w:rPr>
                <w:b/>
              </w:rPr>
              <w:t>Medium</w:t>
            </w:r>
          </w:p>
        </w:tc>
        <w:tc>
          <w:tcPr>
            <w:tcW w:w="7706" w:type="dxa"/>
            <w:tcBorders>
              <w:bottom w:val="single" w:sz="4" w:space="0" w:color="auto"/>
            </w:tcBorders>
            <w:shd w:val="clear" w:color="auto" w:fill="8DB3E2"/>
          </w:tcPr>
          <w:p w:rsidR="00BE0483" w:rsidRPr="00DD0BC7" w:rsidRDefault="00BE0483" w:rsidP="000D6972">
            <w:pPr>
              <w:spacing w:after="120"/>
              <w:jc w:val="both"/>
            </w:pPr>
            <w:r w:rsidRPr="00DD0BC7">
              <w:t>Medium risks that are likely to arise or have serious consequences requiring attention</w:t>
            </w:r>
          </w:p>
        </w:tc>
      </w:tr>
      <w:tr w:rsidR="00BE0483" w:rsidRPr="00DD0BC7" w:rsidTr="000D6972">
        <w:trPr>
          <w:jc w:val="center"/>
        </w:trPr>
        <w:tc>
          <w:tcPr>
            <w:tcW w:w="1321" w:type="dxa"/>
            <w:shd w:val="clear" w:color="auto" w:fill="CCFFCC"/>
          </w:tcPr>
          <w:p w:rsidR="00BE0483" w:rsidRPr="00DD0BC7" w:rsidRDefault="00BE0483" w:rsidP="000D6972">
            <w:pPr>
              <w:spacing w:after="120"/>
              <w:rPr>
                <w:b/>
              </w:rPr>
            </w:pPr>
            <w:r w:rsidRPr="00DD0BC7">
              <w:rPr>
                <w:b/>
              </w:rPr>
              <w:t xml:space="preserve">Minor </w:t>
            </w:r>
          </w:p>
        </w:tc>
        <w:tc>
          <w:tcPr>
            <w:tcW w:w="7706" w:type="dxa"/>
            <w:shd w:val="clear" w:color="auto" w:fill="CCFFCC"/>
          </w:tcPr>
          <w:p w:rsidR="00BE0483" w:rsidRPr="00DD0BC7" w:rsidRDefault="00BE0483" w:rsidP="000D6972">
            <w:pPr>
              <w:spacing w:after="120"/>
              <w:jc w:val="both"/>
            </w:pPr>
            <w:r w:rsidRPr="00DD0BC7">
              <w:t>Minor risks and low consequences that may be managed by routine procedures</w:t>
            </w:r>
          </w:p>
        </w:tc>
      </w:tr>
    </w:tbl>
    <w:p w:rsidR="00BE0483" w:rsidRDefault="00BE0483" w:rsidP="00BE0483">
      <w:pPr>
        <w:spacing w:after="0"/>
        <w:jc w:val="both"/>
      </w:pPr>
    </w:p>
    <w:p w:rsidR="00BE0483" w:rsidRPr="00425210" w:rsidRDefault="00BE0483" w:rsidP="00BE0483">
      <w:pPr>
        <w:spacing w:after="0"/>
        <w:jc w:val="both"/>
        <w:rPr>
          <w:sz w:val="20"/>
          <w:szCs w:val="20"/>
        </w:rPr>
      </w:pPr>
      <w:r w:rsidRPr="00425210">
        <w:rPr>
          <w:sz w:val="20"/>
          <w:szCs w:val="20"/>
        </w:rPr>
        <w:t>An example of how to use the risk rating tables is included in Attachment A.</w:t>
      </w:r>
    </w:p>
    <w:p w:rsidR="00BE0483" w:rsidRPr="00DD0BC7" w:rsidRDefault="00BE0483" w:rsidP="00BE0483">
      <w:pPr>
        <w:spacing w:after="0"/>
        <w:jc w:val="both"/>
      </w:pPr>
    </w:p>
    <w:p w:rsidR="00BE0483" w:rsidRPr="00ED38FE" w:rsidRDefault="00BE0483" w:rsidP="00BE0483">
      <w:pPr>
        <w:spacing w:after="120"/>
        <w:rPr>
          <w:b/>
          <w:color w:val="4F81BD"/>
          <w:sz w:val="24"/>
          <w:szCs w:val="24"/>
        </w:rPr>
      </w:pPr>
      <w:r w:rsidRPr="00ED38FE">
        <w:rPr>
          <w:b/>
          <w:color w:val="4F81BD"/>
          <w:sz w:val="24"/>
          <w:szCs w:val="24"/>
        </w:rPr>
        <w:t>Step 4 – Treat the risks</w:t>
      </w:r>
    </w:p>
    <w:p w:rsidR="00BE0483" w:rsidRDefault="00BE0483" w:rsidP="00BE0483">
      <w:pPr>
        <w:spacing w:after="120"/>
        <w:rPr>
          <w:sz w:val="20"/>
          <w:szCs w:val="20"/>
        </w:rPr>
      </w:pPr>
      <w:r>
        <w:rPr>
          <w:sz w:val="20"/>
          <w:szCs w:val="20"/>
        </w:rPr>
        <w:t xml:space="preserve">Risk treatment involves identifying the range of options for treating the risk, evaluating those options, preparing the risk treatment plans and implementing those plans. It is about considering the options for treatment and selecting the most appropriate method to achieve the desired outcome. </w:t>
      </w:r>
    </w:p>
    <w:p w:rsidR="00BE0483" w:rsidRPr="000136A5" w:rsidRDefault="00BE0483" w:rsidP="00BE0483">
      <w:pPr>
        <w:spacing w:after="120"/>
        <w:rPr>
          <w:sz w:val="20"/>
          <w:szCs w:val="20"/>
        </w:rPr>
      </w:pPr>
      <w:r w:rsidRPr="000136A5">
        <w:rPr>
          <w:sz w:val="20"/>
          <w:szCs w:val="20"/>
        </w:rPr>
        <w:t>Options for treatment need to be proportionate to the significance of the risk, and the cost of treatment commensurate with the potential benefits of treatment.</w:t>
      </w:r>
    </w:p>
    <w:p w:rsidR="00BE0483" w:rsidRPr="000136A5" w:rsidRDefault="00BE0483" w:rsidP="00BE0483">
      <w:pPr>
        <w:spacing w:after="120"/>
        <w:rPr>
          <w:sz w:val="20"/>
          <w:szCs w:val="20"/>
        </w:rPr>
      </w:pPr>
      <w:r w:rsidRPr="000136A5">
        <w:rPr>
          <w:sz w:val="20"/>
          <w:szCs w:val="20"/>
        </w:rPr>
        <w:t>According to the standard, treatment options include:</w:t>
      </w:r>
    </w:p>
    <w:p w:rsidR="00BE0483" w:rsidRPr="000136A5" w:rsidRDefault="00BE0483" w:rsidP="00BE0483">
      <w:pPr>
        <w:numPr>
          <w:ilvl w:val="0"/>
          <w:numId w:val="7"/>
        </w:numPr>
        <w:spacing w:after="0"/>
        <w:rPr>
          <w:sz w:val="20"/>
          <w:szCs w:val="20"/>
        </w:rPr>
      </w:pPr>
      <w:r w:rsidRPr="000136A5">
        <w:rPr>
          <w:b/>
          <w:sz w:val="20"/>
          <w:szCs w:val="20"/>
        </w:rPr>
        <w:t>Accepting the risk</w:t>
      </w:r>
      <w:r w:rsidRPr="000136A5">
        <w:rPr>
          <w:sz w:val="20"/>
          <w:szCs w:val="20"/>
        </w:rPr>
        <w:t xml:space="preserve"> – for example most people would consider minor injuries in participating in the sporting activity as being an inherent risk.</w:t>
      </w:r>
    </w:p>
    <w:p w:rsidR="00BE0483" w:rsidRPr="000136A5" w:rsidRDefault="00BE0483" w:rsidP="00BE0483">
      <w:pPr>
        <w:numPr>
          <w:ilvl w:val="0"/>
          <w:numId w:val="7"/>
        </w:numPr>
        <w:spacing w:after="0"/>
        <w:rPr>
          <w:sz w:val="20"/>
          <w:szCs w:val="20"/>
        </w:rPr>
      </w:pPr>
      <w:r w:rsidRPr="000136A5">
        <w:rPr>
          <w:b/>
          <w:sz w:val="20"/>
          <w:szCs w:val="20"/>
        </w:rPr>
        <w:t>Avoiding the risk</w:t>
      </w:r>
      <w:r w:rsidRPr="000136A5">
        <w:rPr>
          <w:sz w:val="20"/>
          <w:szCs w:val="20"/>
        </w:rPr>
        <w:t xml:space="preserve"> is about your club deciding either not to proceed with an activity, or choosing an alternate activity with acceptable risk which meets the objects of your club.  For example, a cricket club wishing to raise funds may decide that a rock climbing competition without a properly trained and accredited instructor, equipment etc may decide a safer way of raising funds. </w:t>
      </w:r>
    </w:p>
    <w:p w:rsidR="00BE0483" w:rsidRPr="000136A5" w:rsidRDefault="00BE0483" w:rsidP="00BE0483">
      <w:pPr>
        <w:numPr>
          <w:ilvl w:val="0"/>
          <w:numId w:val="7"/>
        </w:numPr>
        <w:spacing w:after="0"/>
        <w:rPr>
          <w:sz w:val="20"/>
          <w:szCs w:val="20"/>
        </w:rPr>
      </w:pPr>
      <w:r w:rsidRPr="000136A5">
        <w:rPr>
          <w:b/>
          <w:sz w:val="20"/>
          <w:szCs w:val="20"/>
        </w:rPr>
        <w:t>Reducing the risk</w:t>
      </w:r>
      <w:r w:rsidRPr="000136A5">
        <w:rPr>
          <w:sz w:val="20"/>
          <w:szCs w:val="20"/>
        </w:rPr>
        <w:t xml:space="preserve"> likelihood or consequences or both is commonly practiced treatment of a risk within sport, for example use of mouth guards for players in some sports i.e. contact sports.</w:t>
      </w:r>
    </w:p>
    <w:p w:rsidR="00BE0483" w:rsidRPr="000136A5" w:rsidRDefault="00BE0483" w:rsidP="00BE0483">
      <w:pPr>
        <w:numPr>
          <w:ilvl w:val="0"/>
          <w:numId w:val="7"/>
        </w:numPr>
        <w:spacing w:after="0"/>
        <w:rPr>
          <w:sz w:val="20"/>
          <w:szCs w:val="20"/>
        </w:rPr>
      </w:pPr>
      <w:r w:rsidRPr="000136A5">
        <w:rPr>
          <w:b/>
          <w:sz w:val="20"/>
          <w:szCs w:val="20"/>
        </w:rPr>
        <w:t>Transferring the risk</w:t>
      </w:r>
      <w:r w:rsidRPr="000136A5">
        <w:rPr>
          <w:sz w:val="20"/>
          <w:szCs w:val="20"/>
        </w:rPr>
        <w:t xml:space="preserve"> in full or in part, will generally occur through contracts or notices for example your insurance contract is perhaps the most commonly used risk transfer form used.  Other examples include lease agreements, waivers, disclaimers, tickets, and warning signs. </w:t>
      </w:r>
    </w:p>
    <w:p w:rsidR="00BE0483" w:rsidRPr="000136A5" w:rsidRDefault="00BE0483" w:rsidP="00BE0483">
      <w:pPr>
        <w:numPr>
          <w:ilvl w:val="0"/>
          <w:numId w:val="7"/>
        </w:numPr>
        <w:spacing w:after="0"/>
        <w:rPr>
          <w:sz w:val="20"/>
          <w:szCs w:val="20"/>
        </w:rPr>
      </w:pPr>
      <w:r w:rsidRPr="000136A5">
        <w:rPr>
          <w:b/>
          <w:sz w:val="20"/>
          <w:szCs w:val="20"/>
        </w:rPr>
        <w:t xml:space="preserve">Retaining the risk </w:t>
      </w:r>
      <w:r w:rsidRPr="000136A5">
        <w:rPr>
          <w:sz w:val="20"/>
          <w:szCs w:val="20"/>
        </w:rPr>
        <w:t>is knowing that the risk treatment is not about risk elimination, rather it is about acknowledging the risk is an important part of the sport activity and some must be retained because of the inherent nature of the sport activity.  It is important to consider the level of risk which is inherent and acceptable.</w:t>
      </w:r>
    </w:p>
    <w:p w:rsidR="00BE0483" w:rsidRPr="000136A5" w:rsidRDefault="00BE0483" w:rsidP="00BE0483">
      <w:pPr>
        <w:numPr>
          <w:ilvl w:val="0"/>
          <w:numId w:val="7"/>
        </w:numPr>
        <w:spacing w:after="120"/>
        <w:ind w:left="714" w:hanging="357"/>
        <w:rPr>
          <w:sz w:val="20"/>
          <w:szCs w:val="20"/>
        </w:rPr>
      </w:pPr>
      <w:r w:rsidRPr="000136A5">
        <w:rPr>
          <w:b/>
          <w:sz w:val="20"/>
          <w:szCs w:val="20"/>
        </w:rPr>
        <w:t xml:space="preserve">Financing the risk </w:t>
      </w:r>
      <w:r w:rsidRPr="000136A5">
        <w:rPr>
          <w:sz w:val="20"/>
          <w:szCs w:val="20"/>
        </w:rPr>
        <w:t xml:space="preserve">means the club funding the consequences of risk i.e. providing funds to cover the costs of implementing the risk treatment.  Most community non profit sport clubs would not consider this option. </w:t>
      </w:r>
    </w:p>
    <w:p w:rsidR="00BE0483" w:rsidRPr="000136A5" w:rsidRDefault="00BE0483" w:rsidP="00BE0483">
      <w:pPr>
        <w:spacing w:after="120"/>
        <w:jc w:val="both"/>
        <w:rPr>
          <w:sz w:val="20"/>
          <w:szCs w:val="20"/>
        </w:rPr>
      </w:pPr>
      <w:r w:rsidRPr="000136A5">
        <w:rPr>
          <w:sz w:val="20"/>
          <w:szCs w:val="20"/>
        </w:rPr>
        <w:t>Whichever option you choose to treat a risk, if the risk has rated highly you will need to carefully consider necessary policies, procedures and strategies to treat the risk.   These will include:</w:t>
      </w:r>
    </w:p>
    <w:p w:rsidR="00BE0483" w:rsidRPr="000136A5" w:rsidRDefault="00BE0483" w:rsidP="00BE0483">
      <w:pPr>
        <w:numPr>
          <w:ilvl w:val="0"/>
          <w:numId w:val="4"/>
        </w:numPr>
        <w:spacing w:after="0" w:line="240" w:lineRule="auto"/>
        <w:rPr>
          <w:sz w:val="20"/>
          <w:szCs w:val="20"/>
        </w:rPr>
      </w:pPr>
      <w:r w:rsidRPr="000136A5">
        <w:rPr>
          <w:sz w:val="20"/>
          <w:szCs w:val="20"/>
        </w:rPr>
        <w:t>what is needed to treat the risk</w:t>
      </w:r>
    </w:p>
    <w:p w:rsidR="00BE0483" w:rsidRPr="000136A5" w:rsidRDefault="00BE0483" w:rsidP="00BE0483">
      <w:pPr>
        <w:numPr>
          <w:ilvl w:val="0"/>
          <w:numId w:val="5"/>
        </w:numPr>
        <w:spacing w:after="0" w:line="240" w:lineRule="auto"/>
        <w:rPr>
          <w:sz w:val="20"/>
          <w:szCs w:val="20"/>
        </w:rPr>
      </w:pPr>
      <w:r w:rsidRPr="000136A5">
        <w:rPr>
          <w:sz w:val="20"/>
          <w:szCs w:val="20"/>
        </w:rPr>
        <w:t>who has responsibility</w:t>
      </w:r>
    </w:p>
    <w:p w:rsidR="00BE0483" w:rsidRPr="000136A5" w:rsidRDefault="00BE0483" w:rsidP="00BE0483">
      <w:pPr>
        <w:numPr>
          <w:ilvl w:val="0"/>
          <w:numId w:val="6"/>
        </w:numPr>
        <w:spacing w:after="0" w:line="240" w:lineRule="auto"/>
        <w:rPr>
          <w:sz w:val="20"/>
          <w:szCs w:val="20"/>
        </w:rPr>
      </w:pPr>
      <w:r w:rsidRPr="000136A5">
        <w:rPr>
          <w:sz w:val="20"/>
          <w:szCs w:val="20"/>
        </w:rPr>
        <w:t xml:space="preserve">what is the timeframe </w:t>
      </w:r>
    </w:p>
    <w:p w:rsidR="00BE0483" w:rsidRPr="000136A5" w:rsidRDefault="00BE0483" w:rsidP="00BE0483">
      <w:pPr>
        <w:numPr>
          <w:ilvl w:val="0"/>
          <w:numId w:val="6"/>
        </w:numPr>
        <w:spacing w:after="120" w:line="240" w:lineRule="auto"/>
        <w:ind w:left="357" w:hanging="357"/>
        <w:rPr>
          <w:sz w:val="20"/>
          <w:szCs w:val="20"/>
        </w:rPr>
      </w:pPr>
      <w:r w:rsidRPr="000136A5">
        <w:rPr>
          <w:sz w:val="20"/>
          <w:szCs w:val="20"/>
        </w:rPr>
        <w:t xml:space="preserve">how you will know when the risk has been successfully managed. </w:t>
      </w:r>
    </w:p>
    <w:p w:rsidR="00BE0483" w:rsidRDefault="00BE0483" w:rsidP="00BE0483">
      <w:pPr>
        <w:spacing w:after="120"/>
        <w:jc w:val="both"/>
        <w:rPr>
          <w:sz w:val="20"/>
          <w:szCs w:val="20"/>
        </w:rPr>
      </w:pPr>
      <w:r w:rsidRPr="000136A5">
        <w:rPr>
          <w:sz w:val="20"/>
          <w:szCs w:val="20"/>
        </w:rPr>
        <w:t>Also, seek independent advice from your broker, insurer, solicitor, financial advisor and/or affiliated state body.</w:t>
      </w:r>
    </w:p>
    <w:p w:rsidR="00BE0483" w:rsidRPr="000136A5" w:rsidRDefault="00BE0483" w:rsidP="00BE0483">
      <w:pPr>
        <w:spacing w:after="120"/>
        <w:jc w:val="both"/>
        <w:rPr>
          <w:b/>
          <w:color w:val="4F81BD"/>
          <w:sz w:val="24"/>
          <w:szCs w:val="24"/>
        </w:rPr>
      </w:pPr>
      <w:r w:rsidRPr="000136A5">
        <w:rPr>
          <w:b/>
          <w:color w:val="4F81BD"/>
          <w:sz w:val="24"/>
          <w:szCs w:val="24"/>
        </w:rPr>
        <w:t>Step 5 – Monitor and review</w:t>
      </w:r>
    </w:p>
    <w:p w:rsidR="00BE0483" w:rsidRDefault="00BE0483" w:rsidP="00BE0483">
      <w:pPr>
        <w:spacing w:after="120"/>
        <w:rPr>
          <w:sz w:val="20"/>
          <w:szCs w:val="20"/>
        </w:rPr>
      </w:pPr>
      <w:r>
        <w:rPr>
          <w:sz w:val="20"/>
          <w:szCs w:val="20"/>
        </w:rPr>
        <w:t>As with communication and consultation, monitoring and review is an ongoing part of risk management that is integral to every step of the process. It is also the part of risk management that is most often given inadequate focus, and as a result the risk management programs of many organisations become irrelevant and ineffective over time. Monitoring and review ensure that the important information generated by the risk management process is captured, used and maintained.</w:t>
      </w:r>
    </w:p>
    <w:p w:rsidR="00BE0483" w:rsidRPr="000136A5" w:rsidRDefault="00BE0483" w:rsidP="00BE0483">
      <w:pPr>
        <w:spacing w:after="120"/>
        <w:rPr>
          <w:sz w:val="20"/>
          <w:szCs w:val="20"/>
        </w:rPr>
      </w:pPr>
      <w:r>
        <w:rPr>
          <w:sz w:val="20"/>
          <w:szCs w:val="20"/>
        </w:rPr>
        <w:t xml:space="preserve">Few risks remain static. Factors that may affect the likelihood and consequences of an outcome may change, as may the factors that affect the suitability or cost of the various treatment options. Review is an integral part of the risk management treatment plan. </w:t>
      </w:r>
    </w:p>
    <w:p w:rsidR="00BE0483" w:rsidRDefault="00BE0483" w:rsidP="00BE0483">
      <w:pPr>
        <w:spacing w:after="120"/>
        <w:rPr>
          <w:sz w:val="20"/>
          <w:szCs w:val="20"/>
        </w:rPr>
      </w:pPr>
      <w:r>
        <w:rPr>
          <w:sz w:val="20"/>
          <w:szCs w:val="20"/>
        </w:rPr>
        <w:t>As discussed earlier, risk management is an integral part of all core business functions, and it should be seen and treated as such. Risk management should be fully incorporated into the operational and management processes at every level of the organisation and should be driven from the top down.</w:t>
      </w:r>
    </w:p>
    <w:p w:rsidR="00BE0483" w:rsidRDefault="00BE0483" w:rsidP="00BE0483">
      <w:pPr>
        <w:spacing w:after="120"/>
        <w:rPr>
          <w:sz w:val="20"/>
          <w:szCs w:val="20"/>
        </w:rPr>
      </w:pPr>
    </w:p>
    <w:p w:rsidR="00BE0483" w:rsidRDefault="00BE0483" w:rsidP="00BE0483">
      <w:pPr>
        <w:spacing w:after="120"/>
        <w:rPr>
          <w:sz w:val="20"/>
          <w:szCs w:val="20"/>
        </w:rPr>
      </w:pPr>
    </w:p>
    <w:p w:rsidR="00BE0483" w:rsidRDefault="00BE0483" w:rsidP="00BE0483">
      <w:pPr>
        <w:spacing w:after="120"/>
        <w:rPr>
          <w:sz w:val="20"/>
          <w:szCs w:val="20"/>
        </w:rPr>
      </w:pPr>
    </w:p>
    <w:p w:rsidR="00BE0483" w:rsidRDefault="00BE0483" w:rsidP="00BE0483">
      <w:pPr>
        <w:spacing w:after="120"/>
        <w:rPr>
          <w:sz w:val="20"/>
          <w:szCs w:val="20"/>
        </w:rPr>
      </w:pPr>
    </w:p>
    <w:p w:rsidR="00BE0483" w:rsidRDefault="00BE0483" w:rsidP="00BE0483">
      <w:pPr>
        <w:spacing w:after="120"/>
        <w:rPr>
          <w:sz w:val="20"/>
          <w:szCs w:val="20"/>
        </w:rPr>
      </w:pPr>
    </w:p>
    <w:p w:rsidR="00BE0483" w:rsidRDefault="00BE0483" w:rsidP="00BE0483">
      <w:pPr>
        <w:shd w:val="solid" w:color="FFFFFF" w:fill="auto"/>
        <w:autoSpaceDN w:val="0"/>
        <w:spacing w:after="150" w:line="825" w:lineRule="atLeast"/>
        <w:rPr>
          <w:rFonts w:ascii="celestesans-bold"/>
          <w:color w:val="4D4D4D"/>
          <w:sz w:val="42"/>
          <w:shd w:val="clear" w:color="auto" w:fill="FFFFFF"/>
        </w:rPr>
      </w:pPr>
      <w:r>
        <w:rPr>
          <w:rFonts w:ascii="celestesans-bold"/>
          <w:color w:val="4D4D4D"/>
          <w:sz w:val="42"/>
          <w:shd w:val="clear" w:color="auto" w:fill="FFFFFF"/>
        </w:rPr>
        <w:t>Benefits of a Risk Management Program</w:t>
      </w:r>
    </w:p>
    <w:p w:rsidR="00BE0483" w:rsidRDefault="00BE0483" w:rsidP="00BE0483">
      <w:pPr>
        <w:shd w:val="solid" w:color="FFFFFF" w:fill="auto"/>
        <w:autoSpaceDN w:val="0"/>
        <w:spacing w:after="150" w:line="364" w:lineRule="atLeast"/>
        <w:rPr>
          <w:rFonts w:ascii="celestesans"/>
          <w:color w:val="4D4D4D"/>
          <w:sz w:val="25"/>
          <w:shd w:val="clear" w:color="auto" w:fill="FFFFFF"/>
        </w:rPr>
      </w:pPr>
      <w:r>
        <w:rPr>
          <w:rFonts w:ascii="celestesans"/>
          <w:color w:val="4D4D4D"/>
          <w:sz w:val="25"/>
          <w:shd w:val="clear" w:color="auto" w:fill="FFFFFF"/>
        </w:rPr>
        <w:t>The following are some of the specific benefits of a preventative risk management program:</w:t>
      </w:r>
    </w:p>
    <w:p w:rsidR="00BE0483" w:rsidRDefault="00BE0483" w:rsidP="00BE0483">
      <w:pPr>
        <w:widowControl w:val="0"/>
        <w:numPr>
          <w:ilvl w:val="0"/>
          <w:numId w:val="8"/>
        </w:numPr>
        <w:shd w:val="solid" w:color="FFFFFF" w:fill="auto"/>
        <w:tabs>
          <w:tab w:val="left" w:pos="720"/>
        </w:tabs>
        <w:autoSpaceDN w:val="0"/>
        <w:spacing w:after="0" w:line="364" w:lineRule="atLeast"/>
        <w:rPr>
          <w:rFonts w:ascii="celestesans"/>
          <w:color w:val="4D4D4D"/>
          <w:sz w:val="25"/>
          <w:shd w:val="clear" w:color="auto" w:fill="FFFFFF"/>
        </w:rPr>
      </w:pPr>
      <w:r>
        <w:rPr>
          <w:rFonts w:ascii="celestesans"/>
          <w:b/>
          <w:color w:val="4D4D4D"/>
          <w:sz w:val="25"/>
          <w:shd w:val="clear" w:color="auto" w:fill="FFFFFF"/>
        </w:rPr>
        <w:t>See risks that are not apparent.</w:t>
      </w:r>
      <w:r>
        <w:rPr>
          <w:rFonts w:ascii="celestesans"/>
          <w:color w:val="4D4D4D"/>
          <w:sz w:val="25"/>
          <w:shd w:val="clear" w:color="auto" w:fill="FFFFFF"/>
        </w:rPr>
        <w:t xml:space="preserve"> Many of the real risks facing an organization cannot be gleaned from a textbook. A comprehensive preventative risk management program leverages a team of experts to identify and provide a deeper understanding of all types of risks.</w:t>
      </w:r>
    </w:p>
    <w:p w:rsidR="00BE0483" w:rsidRDefault="00BE0483" w:rsidP="00BE0483">
      <w:pPr>
        <w:widowControl w:val="0"/>
        <w:numPr>
          <w:ilvl w:val="0"/>
          <w:numId w:val="8"/>
        </w:numPr>
        <w:shd w:val="solid" w:color="FFFFFF" w:fill="auto"/>
        <w:tabs>
          <w:tab w:val="left" w:pos="720"/>
        </w:tabs>
        <w:autoSpaceDN w:val="0"/>
        <w:spacing w:after="0" w:line="364" w:lineRule="atLeast"/>
        <w:rPr>
          <w:rFonts w:ascii="celestesans"/>
          <w:color w:val="4D4D4D"/>
          <w:sz w:val="25"/>
          <w:shd w:val="clear" w:color="auto" w:fill="FFFFFF"/>
        </w:rPr>
      </w:pPr>
      <w:r>
        <w:rPr>
          <w:rFonts w:ascii="celestesans"/>
          <w:b/>
          <w:color w:val="4D4D4D"/>
          <w:sz w:val="25"/>
          <w:shd w:val="clear" w:color="auto" w:fill="FFFFFF"/>
        </w:rPr>
        <w:t>Provide insights and support to the Board of Directors.</w:t>
      </w:r>
      <w:r>
        <w:rPr>
          <w:rFonts w:ascii="celestesans"/>
          <w:color w:val="4D4D4D"/>
          <w:sz w:val="25"/>
          <w:shd w:val="clear" w:color="auto" w:fill="FFFFFF"/>
        </w:rPr>
        <w:t xml:space="preserve"> Board members may find it difficult to identify risks outside their areas of expertise and experience. Providing resources and advisory services to the Board and its committees charged with risk management will make them better able to discharge their duties.</w:t>
      </w:r>
    </w:p>
    <w:p w:rsidR="00BE0483" w:rsidRDefault="00BE0483" w:rsidP="00BE0483">
      <w:pPr>
        <w:widowControl w:val="0"/>
        <w:numPr>
          <w:ilvl w:val="0"/>
          <w:numId w:val="8"/>
        </w:numPr>
        <w:shd w:val="solid" w:color="FFFFFF" w:fill="auto"/>
        <w:tabs>
          <w:tab w:val="left" w:pos="720"/>
        </w:tabs>
        <w:autoSpaceDN w:val="0"/>
        <w:spacing w:after="0" w:line="364" w:lineRule="atLeast"/>
        <w:rPr>
          <w:rFonts w:ascii="celestesans"/>
          <w:color w:val="4D4D4D"/>
          <w:sz w:val="25"/>
          <w:shd w:val="clear" w:color="auto" w:fill="FFFFFF"/>
        </w:rPr>
      </w:pPr>
      <w:r>
        <w:rPr>
          <w:rFonts w:ascii="celestesans"/>
          <w:b/>
          <w:color w:val="4D4D4D"/>
          <w:sz w:val="25"/>
          <w:shd w:val="clear" w:color="auto" w:fill="FFFFFF"/>
        </w:rPr>
        <w:t>Get credit for cooperation.</w:t>
      </w:r>
      <w:r>
        <w:rPr>
          <w:rFonts w:ascii="celestesans"/>
          <w:color w:val="4D4D4D"/>
          <w:sz w:val="25"/>
          <w:shd w:val="clear" w:color="auto" w:fill="FFFFFF"/>
        </w:rPr>
        <w:t xml:space="preserve"> Many regulatory agencies have policies where they </w:t>
      </w:r>
      <w:r>
        <w:rPr>
          <w:rFonts w:ascii="celestesans"/>
          <w:color w:val="4D4D4D"/>
          <w:sz w:val="25"/>
          <w:shd w:val="clear" w:color="auto" w:fill="FFFFFF"/>
        </w:rPr>
        <w:t>“</w:t>
      </w:r>
      <w:r>
        <w:rPr>
          <w:rFonts w:ascii="celestesans"/>
          <w:color w:val="4D4D4D"/>
          <w:sz w:val="25"/>
          <w:shd w:val="clear" w:color="auto" w:fill="FFFFFF"/>
        </w:rPr>
        <w:t>give credit</w:t>
      </w:r>
      <w:r>
        <w:rPr>
          <w:rFonts w:ascii="celestesans"/>
          <w:color w:val="4D4D4D"/>
          <w:sz w:val="25"/>
          <w:shd w:val="clear" w:color="auto" w:fill="FFFFFF"/>
        </w:rPr>
        <w:t>”</w:t>
      </w:r>
      <w:r>
        <w:rPr>
          <w:rFonts w:ascii="celestesans"/>
          <w:color w:val="4D4D4D"/>
          <w:sz w:val="25"/>
          <w:shd w:val="clear" w:color="auto" w:fill="FFFFFF"/>
        </w:rPr>
        <w:t xml:space="preserve"> to companies under investigation for having a compliance or a risk prevention program in place. While it is impossible to avoid risk and the manifestation of risk into potential problems, regulators want to see that an event is not due to a systemic breakdown and that the company has measures in place</w:t>
      </w:r>
      <w:r>
        <w:rPr>
          <w:rFonts w:ascii="celestesans"/>
          <w:color w:val="4D4D4D"/>
          <w:sz w:val="25"/>
          <w:shd w:val="clear" w:color="auto" w:fill="FFFFFF"/>
        </w:rPr>
        <w:t>—</w:t>
      </w:r>
      <w:r>
        <w:rPr>
          <w:rFonts w:ascii="celestesans"/>
          <w:color w:val="4D4D4D"/>
          <w:sz w:val="25"/>
          <w:shd w:val="clear" w:color="auto" w:fill="FFFFFF"/>
        </w:rPr>
        <w:t>such as proper leadership, training and certification</w:t>
      </w:r>
      <w:r>
        <w:rPr>
          <w:rFonts w:ascii="celestesans"/>
          <w:color w:val="4D4D4D"/>
          <w:sz w:val="25"/>
          <w:shd w:val="clear" w:color="auto" w:fill="FFFFFF"/>
        </w:rPr>
        <w:t>—</w:t>
      </w:r>
      <w:r>
        <w:rPr>
          <w:rFonts w:ascii="celestesans"/>
          <w:color w:val="4D4D4D"/>
          <w:sz w:val="25"/>
          <w:shd w:val="clear" w:color="auto" w:fill="FFFFFF"/>
        </w:rPr>
        <w:t>to prevent such activity.</w:t>
      </w:r>
    </w:p>
    <w:p w:rsidR="00BE0483" w:rsidRDefault="00BE0483" w:rsidP="00BE0483">
      <w:pPr>
        <w:widowControl w:val="0"/>
        <w:numPr>
          <w:ilvl w:val="0"/>
          <w:numId w:val="8"/>
        </w:numPr>
        <w:shd w:val="solid" w:color="FFFFFF" w:fill="auto"/>
        <w:tabs>
          <w:tab w:val="left" w:pos="720"/>
        </w:tabs>
        <w:autoSpaceDN w:val="0"/>
        <w:spacing w:after="0" w:line="364" w:lineRule="atLeast"/>
        <w:rPr>
          <w:rFonts w:ascii="celestesans"/>
          <w:color w:val="4D4D4D"/>
          <w:sz w:val="25"/>
          <w:shd w:val="clear" w:color="auto" w:fill="FFFFFF"/>
        </w:rPr>
      </w:pPr>
      <w:r>
        <w:rPr>
          <w:rFonts w:ascii="celestesans"/>
          <w:b/>
          <w:color w:val="4D4D4D"/>
          <w:sz w:val="25"/>
          <w:shd w:val="clear" w:color="auto" w:fill="FFFFFF"/>
        </w:rPr>
        <w:t xml:space="preserve">Build a better </w:t>
      </w:r>
      <w:proofErr w:type="spellStart"/>
      <w:r>
        <w:rPr>
          <w:rFonts w:ascii="celestesans"/>
          <w:b/>
          <w:color w:val="4D4D4D"/>
          <w:sz w:val="25"/>
          <w:shd w:val="clear" w:color="auto" w:fill="FFFFFF"/>
        </w:rPr>
        <w:t>defense</w:t>
      </w:r>
      <w:proofErr w:type="spellEnd"/>
      <w:r>
        <w:rPr>
          <w:rFonts w:ascii="celestesans"/>
          <w:b/>
          <w:color w:val="4D4D4D"/>
          <w:sz w:val="25"/>
          <w:shd w:val="clear" w:color="auto" w:fill="FFFFFF"/>
        </w:rPr>
        <w:t xml:space="preserve"> to class-actions.</w:t>
      </w:r>
      <w:r>
        <w:rPr>
          <w:rFonts w:ascii="celestesans"/>
          <w:color w:val="4D4D4D"/>
          <w:sz w:val="25"/>
          <w:shd w:val="clear" w:color="auto" w:fill="FFFFFF"/>
        </w:rPr>
        <w:t xml:space="preserve"> Plaintiffs in class actions and other downstream litigation often rely on their ability to convince </w:t>
      </w:r>
      <w:proofErr w:type="spellStart"/>
      <w:r>
        <w:rPr>
          <w:rFonts w:ascii="celestesans"/>
          <w:color w:val="4D4D4D"/>
          <w:sz w:val="25"/>
          <w:shd w:val="clear" w:color="auto" w:fill="FFFFFF"/>
        </w:rPr>
        <w:t>triers</w:t>
      </w:r>
      <w:proofErr w:type="spellEnd"/>
      <w:r>
        <w:rPr>
          <w:rFonts w:ascii="celestesans"/>
          <w:color w:val="4D4D4D"/>
          <w:sz w:val="25"/>
          <w:shd w:val="clear" w:color="auto" w:fill="FFFFFF"/>
        </w:rPr>
        <w:t xml:space="preserve"> of fact that the defendants have been negligent. This is harder to prove when the company can point to a preventative risk mitigation program that is in place to minimize these risks.</w:t>
      </w:r>
    </w:p>
    <w:p w:rsidR="00BE0483" w:rsidRDefault="00BE0483" w:rsidP="00BE0483">
      <w:pPr>
        <w:widowControl w:val="0"/>
        <w:numPr>
          <w:ilvl w:val="0"/>
          <w:numId w:val="8"/>
        </w:numPr>
        <w:shd w:val="solid" w:color="FFFFFF" w:fill="auto"/>
        <w:tabs>
          <w:tab w:val="left" w:pos="720"/>
        </w:tabs>
        <w:autoSpaceDN w:val="0"/>
        <w:spacing w:after="0" w:line="364" w:lineRule="atLeast"/>
        <w:rPr>
          <w:rFonts w:ascii="celestesans"/>
          <w:color w:val="4D4D4D"/>
          <w:sz w:val="25"/>
          <w:shd w:val="clear" w:color="auto" w:fill="FFFFFF"/>
        </w:rPr>
      </w:pPr>
      <w:r>
        <w:rPr>
          <w:rFonts w:ascii="celestesans"/>
          <w:b/>
          <w:color w:val="4D4D4D"/>
          <w:sz w:val="25"/>
          <w:shd w:val="clear" w:color="auto" w:fill="FFFFFF"/>
        </w:rPr>
        <w:t>Reduce business liability.</w:t>
      </w:r>
      <w:r>
        <w:rPr>
          <w:rFonts w:ascii="celestesans"/>
          <w:color w:val="4D4D4D"/>
          <w:sz w:val="25"/>
          <w:shd w:val="clear" w:color="auto" w:fill="FFFFFF"/>
        </w:rPr>
        <w:t xml:space="preserve"> Regulators and shareholders increasingly view litigation risk as a business liability. Reducing litigation risk upfront makes the company a more attractive investment.</w:t>
      </w:r>
    </w:p>
    <w:p w:rsidR="00BE0483" w:rsidRDefault="00BE0483" w:rsidP="00BE0483">
      <w:pPr>
        <w:widowControl w:val="0"/>
        <w:numPr>
          <w:ilvl w:val="0"/>
          <w:numId w:val="8"/>
        </w:numPr>
        <w:shd w:val="solid" w:color="FFFFFF" w:fill="auto"/>
        <w:tabs>
          <w:tab w:val="left" w:pos="720"/>
        </w:tabs>
        <w:autoSpaceDN w:val="0"/>
        <w:spacing w:after="0" w:line="364" w:lineRule="atLeast"/>
        <w:rPr>
          <w:rFonts w:ascii="celestesans"/>
          <w:color w:val="4D4D4D"/>
          <w:sz w:val="25"/>
          <w:shd w:val="clear" w:color="auto" w:fill="FFFFFF"/>
        </w:rPr>
      </w:pPr>
      <w:r>
        <w:rPr>
          <w:rFonts w:ascii="celestesans"/>
          <w:b/>
          <w:color w:val="4D4D4D"/>
          <w:sz w:val="25"/>
          <w:shd w:val="clear" w:color="auto" w:fill="FFFFFF"/>
        </w:rPr>
        <w:t>Frame regulatory issues.</w:t>
      </w:r>
      <w:r>
        <w:rPr>
          <w:rFonts w:ascii="celestesans"/>
          <w:color w:val="4D4D4D"/>
          <w:sz w:val="25"/>
          <w:shd w:val="clear" w:color="auto" w:fill="FFFFFF"/>
        </w:rPr>
        <w:t xml:space="preserve"> Preventative risk management programs provide greater insight into insurance, indemnity and liability issues and allow the company to better focus and structure its inquiry.</w:t>
      </w:r>
    </w:p>
    <w:p w:rsidR="00BE0483" w:rsidRDefault="00BE0483" w:rsidP="00BE0483"/>
    <w:p w:rsidR="00BE0483" w:rsidRDefault="00BE0483" w:rsidP="00BE0483">
      <w:pPr>
        <w:spacing w:after="120"/>
        <w:rPr>
          <w:sz w:val="20"/>
          <w:szCs w:val="20"/>
        </w:rPr>
      </w:pPr>
    </w:p>
    <w:p w:rsidR="00BE0483" w:rsidRDefault="00BE0483" w:rsidP="00BE0483">
      <w:pPr>
        <w:spacing w:after="120"/>
        <w:rPr>
          <w:sz w:val="20"/>
          <w:szCs w:val="20"/>
        </w:rPr>
      </w:pPr>
    </w:p>
    <w:p w:rsidR="00BE0483" w:rsidRDefault="00BE0483" w:rsidP="00BE0483">
      <w:pPr>
        <w:spacing w:after="120"/>
        <w:rPr>
          <w:sz w:val="20"/>
          <w:szCs w:val="20"/>
        </w:rPr>
      </w:pPr>
    </w:p>
    <w:p w:rsidR="00BE0483" w:rsidRDefault="00BE0483" w:rsidP="00BE0483">
      <w:pPr>
        <w:spacing w:after="120"/>
        <w:rPr>
          <w:sz w:val="20"/>
          <w:szCs w:val="20"/>
        </w:rPr>
      </w:pPr>
    </w:p>
    <w:p w:rsidR="00BE0483" w:rsidRDefault="00BE0483" w:rsidP="00BE0483">
      <w:pPr>
        <w:spacing w:after="120"/>
        <w:rPr>
          <w:sz w:val="20"/>
          <w:szCs w:val="20"/>
        </w:rPr>
      </w:pPr>
    </w:p>
    <w:p w:rsidR="00BE0483" w:rsidRDefault="00BE0483" w:rsidP="00BE0483">
      <w:pPr>
        <w:spacing w:after="120"/>
        <w:rPr>
          <w:sz w:val="20"/>
          <w:szCs w:val="20"/>
        </w:rPr>
      </w:pPr>
    </w:p>
    <w:p w:rsidR="00BE0483" w:rsidRDefault="00BE0483" w:rsidP="00BE0483">
      <w:pPr>
        <w:spacing w:after="120"/>
        <w:rPr>
          <w:sz w:val="20"/>
          <w:szCs w:val="20"/>
        </w:rPr>
      </w:pPr>
    </w:p>
    <w:p w:rsidR="00BE0483" w:rsidRPr="00BE0483" w:rsidRDefault="00BE0483" w:rsidP="00BE0483">
      <w:pPr>
        <w:shd w:val="clear" w:color="auto" w:fill="FFFFFF"/>
        <w:spacing w:after="299" w:line="240" w:lineRule="auto"/>
        <w:rPr>
          <w:rFonts w:ascii="Helvetica" w:eastAsia="Times New Roman" w:hAnsi="Helvetica" w:cs="Times New Roman"/>
          <w:b/>
          <w:i/>
          <w:color w:val="000000"/>
          <w:sz w:val="30"/>
          <w:szCs w:val="24"/>
          <w:u w:val="single"/>
          <w:lang w:eastAsia="en-GB"/>
        </w:rPr>
      </w:pPr>
      <w:r w:rsidRPr="00BE0483">
        <w:rPr>
          <w:b/>
          <w:i/>
          <w:sz w:val="32"/>
          <w:u w:val="single"/>
        </w:rPr>
        <w:t>Risk management can make a difference directly to profit</w:t>
      </w:r>
    </w:p>
    <w:p w:rsidR="00BE0483" w:rsidRPr="00E05824" w:rsidRDefault="00BE0483" w:rsidP="00BE0483">
      <w:pPr>
        <w:shd w:val="clear" w:color="auto" w:fill="FFFFFF"/>
        <w:spacing w:after="299" w:line="240" w:lineRule="auto"/>
        <w:rPr>
          <w:rFonts w:ascii="Helvetica" w:eastAsia="Times New Roman" w:hAnsi="Helvetica" w:cs="Times New Roman"/>
          <w:color w:val="000000"/>
          <w:sz w:val="24"/>
          <w:szCs w:val="24"/>
          <w:lang w:eastAsia="en-GB"/>
        </w:rPr>
      </w:pPr>
      <w:r w:rsidRPr="00E05824">
        <w:rPr>
          <w:rFonts w:ascii="Helvetica" w:eastAsia="Times New Roman" w:hAnsi="Helvetica" w:cs="Times New Roman"/>
          <w:color w:val="000000"/>
          <w:sz w:val="24"/>
          <w:szCs w:val="24"/>
          <w:lang w:eastAsia="en-GB"/>
        </w:rPr>
        <w:t>The conventional wisdom says that putting an emphasis on risk management slows your business, but a new report from PwC finds the contrary is true: Companies that put a premium on risk management are seeing better growth and increased profit margins.</w:t>
      </w:r>
    </w:p>
    <w:p w:rsidR="00BE0483" w:rsidRPr="00E05824" w:rsidRDefault="00BE0483" w:rsidP="00BE0483">
      <w:pPr>
        <w:shd w:val="clear" w:color="auto" w:fill="FFFFFF"/>
        <w:spacing w:after="299" w:line="240" w:lineRule="auto"/>
        <w:rPr>
          <w:rFonts w:ascii="Helvetica" w:eastAsia="Times New Roman" w:hAnsi="Helvetica" w:cs="Times New Roman"/>
          <w:color w:val="000000"/>
          <w:sz w:val="24"/>
          <w:szCs w:val="24"/>
          <w:lang w:eastAsia="en-GB"/>
        </w:rPr>
      </w:pPr>
      <w:r w:rsidRPr="00E05824">
        <w:rPr>
          <w:rFonts w:ascii="Helvetica" w:eastAsia="Times New Roman" w:hAnsi="Helvetica" w:cs="Times New Roman"/>
          <w:color w:val="000000"/>
          <w:sz w:val="24"/>
          <w:szCs w:val="24"/>
          <w:lang w:eastAsia="en-GB"/>
        </w:rPr>
        <w:t>"Risks are increasing dramatically and executives are constantly faced with making decisions to protect their businesses, while also trying to improve their financial performance," says Dean Simone, leader of PwC's U.S. Risk Assurance practice. "By integrating risk management into the business life cycle, these two objectives can easily come together to work in unison. Developing an effective strategy requires investment, but the payoff and competitive advantage can be enormous."</w:t>
      </w:r>
    </w:p>
    <w:p w:rsidR="00BE0483" w:rsidRPr="00E05824" w:rsidRDefault="00BE0483" w:rsidP="00BE0483">
      <w:pPr>
        <w:shd w:val="clear" w:color="auto" w:fill="FFFFFF"/>
        <w:spacing w:after="299" w:line="240" w:lineRule="auto"/>
        <w:rPr>
          <w:rFonts w:ascii="Helvetica" w:eastAsia="Times New Roman" w:hAnsi="Helvetica" w:cs="Times New Roman"/>
          <w:sz w:val="24"/>
          <w:szCs w:val="24"/>
          <w:lang w:eastAsia="en-GB"/>
        </w:rPr>
      </w:pPr>
      <w:r w:rsidRPr="00E05824">
        <w:rPr>
          <w:rFonts w:ascii="Helvetica" w:eastAsia="Times New Roman" w:hAnsi="Helvetica" w:cs="Times New Roman"/>
          <w:color w:val="000000"/>
          <w:sz w:val="24"/>
          <w:szCs w:val="24"/>
          <w:lang w:eastAsia="en-GB"/>
        </w:rPr>
        <w:t>PwC surveyed more than 1,200 senior executives and board members for the report, </w:t>
      </w:r>
      <w:r w:rsidRPr="00E05824">
        <w:rPr>
          <w:rFonts w:ascii="Helvetica" w:eastAsia="Times New Roman" w:hAnsi="Helvetica" w:cs="Times New Roman"/>
          <w:sz w:val="24"/>
          <w:szCs w:val="24"/>
          <w:lang w:eastAsia="en-GB"/>
        </w:rPr>
        <w:t>Risk in review: Decoding uncertainty, delivering value. It found that companies that lead in risk management tend to take a holistic view of risk and involve risk management in the business at a strategic level. As a result, over the past three years, 55 percent of risk management leaders recorded increased profit margins and 41 percent achieved an annual profit margin of more than 10 percent.</w:t>
      </w:r>
    </w:p>
    <w:p w:rsidR="00BE0483" w:rsidRPr="00E05824" w:rsidRDefault="00BE0483" w:rsidP="00BE0483">
      <w:pPr>
        <w:spacing w:after="0" w:line="240" w:lineRule="auto"/>
        <w:rPr>
          <w:rFonts w:ascii="Times New Roman" w:eastAsia="Times New Roman" w:hAnsi="Times New Roman" w:cs="Times New Roman"/>
          <w:sz w:val="24"/>
          <w:szCs w:val="24"/>
          <w:lang w:eastAsia="en-GB"/>
        </w:rPr>
      </w:pPr>
      <w:r w:rsidRPr="00E05824">
        <w:rPr>
          <w:rFonts w:ascii="Times New Roman" w:eastAsia="Times New Roman" w:hAnsi="Times New Roman" w:cs="Times New Roman"/>
          <w:sz w:val="24"/>
          <w:szCs w:val="24"/>
          <w:lang w:eastAsia="en-GB"/>
        </w:rPr>
        <w:t>[ Learn </w:t>
      </w:r>
      <w:hyperlink r:id="rId6" w:history="1">
        <w:r w:rsidRPr="00E05824">
          <w:rPr>
            <w:rFonts w:ascii="Times New Roman" w:eastAsia="Times New Roman" w:hAnsi="Times New Roman" w:cs="Times New Roman"/>
            <w:sz w:val="24"/>
            <w:szCs w:val="24"/>
            <w:lang w:eastAsia="en-GB"/>
          </w:rPr>
          <w:t>why IT projects still fail</w:t>
        </w:r>
      </w:hyperlink>
      <w:r w:rsidRPr="00E05824">
        <w:rPr>
          <w:rFonts w:ascii="Times New Roman" w:eastAsia="Times New Roman" w:hAnsi="Times New Roman" w:cs="Times New Roman"/>
          <w:sz w:val="24"/>
          <w:szCs w:val="24"/>
          <w:lang w:eastAsia="en-GB"/>
        </w:rPr>
        <w:t> at an alarming rate, find out </w:t>
      </w:r>
      <w:hyperlink r:id="rId7" w:history="1">
        <w:r w:rsidRPr="00E05824">
          <w:rPr>
            <w:rFonts w:ascii="Times New Roman" w:eastAsia="Times New Roman" w:hAnsi="Times New Roman" w:cs="Times New Roman"/>
            <w:sz w:val="24"/>
            <w:szCs w:val="24"/>
            <w:lang w:eastAsia="en-GB"/>
          </w:rPr>
          <w:t>how to pick the right project management methodology for your team</w:t>
        </w:r>
      </w:hyperlink>
      <w:r w:rsidRPr="00E05824">
        <w:rPr>
          <w:rFonts w:ascii="Times New Roman" w:eastAsia="Times New Roman" w:hAnsi="Times New Roman" w:cs="Times New Roman"/>
          <w:sz w:val="24"/>
          <w:szCs w:val="24"/>
          <w:lang w:eastAsia="en-GB"/>
        </w:rPr>
        <w:t> and beware the </w:t>
      </w:r>
      <w:hyperlink r:id="rId8" w:history="1">
        <w:r w:rsidRPr="00E05824">
          <w:rPr>
            <w:rFonts w:ascii="Times New Roman" w:eastAsia="Times New Roman" w:hAnsi="Times New Roman" w:cs="Times New Roman"/>
            <w:sz w:val="24"/>
            <w:szCs w:val="24"/>
            <w:lang w:eastAsia="en-GB"/>
          </w:rPr>
          <w:t>10 project management myths to avoid</w:t>
        </w:r>
      </w:hyperlink>
      <w:r w:rsidRPr="00E05824">
        <w:rPr>
          <w:rFonts w:ascii="Times New Roman" w:eastAsia="Times New Roman" w:hAnsi="Times New Roman" w:cs="Times New Roman"/>
          <w:sz w:val="24"/>
          <w:szCs w:val="24"/>
          <w:lang w:eastAsia="en-GB"/>
        </w:rPr>
        <w:t>. | Get the latest project management advice by </w:t>
      </w:r>
      <w:hyperlink r:id="rId9" w:history="1">
        <w:r w:rsidRPr="00E05824">
          <w:rPr>
            <w:rFonts w:ascii="Times New Roman" w:eastAsia="Times New Roman" w:hAnsi="Times New Roman" w:cs="Times New Roman"/>
            <w:sz w:val="24"/>
            <w:szCs w:val="24"/>
            <w:lang w:eastAsia="en-GB"/>
          </w:rPr>
          <w:t>signing up for our CIO newsletters</w:t>
        </w:r>
      </w:hyperlink>
      <w:r w:rsidRPr="00E05824">
        <w:rPr>
          <w:rFonts w:ascii="Times New Roman" w:eastAsia="Times New Roman" w:hAnsi="Times New Roman" w:cs="Times New Roman"/>
          <w:sz w:val="24"/>
          <w:szCs w:val="24"/>
          <w:lang w:eastAsia="en-GB"/>
        </w:rPr>
        <w:t>. ]</w:t>
      </w:r>
    </w:p>
    <w:p w:rsidR="00BE0483" w:rsidRPr="00E05824" w:rsidRDefault="00BE0483" w:rsidP="00BE0483">
      <w:pPr>
        <w:shd w:val="clear" w:color="auto" w:fill="FFFFFF"/>
        <w:spacing w:after="299" w:line="240" w:lineRule="auto"/>
        <w:rPr>
          <w:rFonts w:ascii="Helvetica" w:eastAsia="Times New Roman" w:hAnsi="Helvetica" w:cs="Times New Roman"/>
          <w:color w:val="000000"/>
          <w:sz w:val="24"/>
          <w:szCs w:val="24"/>
          <w:lang w:eastAsia="en-GB"/>
        </w:rPr>
      </w:pPr>
      <w:r w:rsidRPr="00E05824">
        <w:rPr>
          <w:rFonts w:ascii="Helvetica" w:eastAsia="Times New Roman" w:hAnsi="Helvetica" w:cs="Times New Roman"/>
          <w:color w:val="000000"/>
          <w:sz w:val="24"/>
          <w:szCs w:val="24"/>
          <w:lang w:eastAsia="en-GB"/>
        </w:rPr>
        <w:t>While 73 percent of executives say that risks to their companies are rising, only 12 percent of respondents demonstrate the hallmarks of risk management leaders. PwC says risk management leaders set themselves apart in four key areas:</w:t>
      </w:r>
    </w:p>
    <w:p w:rsidR="00BE0483" w:rsidRPr="00E05824" w:rsidRDefault="00BE0483" w:rsidP="00BE0483">
      <w:pPr>
        <w:shd w:val="clear" w:color="auto" w:fill="FFFFFF"/>
        <w:spacing w:after="299" w:line="240" w:lineRule="auto"/>
        <w:rPr>
          <w:rFonts w:ascii="Helvetica" w:eastAsia="Times New Roman" w:hAnsi="Helvetica" w:cs="Times New Roman"/>
          <w:color w:val="000000"/>
          <w:sz w:val="24"/>
          <w:szCs w:val="24"/>
          <w:lang w:eastAsia="en-GB"/>
        </w:rPr>
      </w:pPr>
      <w:r w:rsidRPr="00E05824">
        <w:rPr>
          <w:rFonts w:ascii="Helvetica" w:eastAsia="Times New Roman" w:hAnsi="Helvetica" w:cs="Times New Roman"/>
          <w:b/>
          <w:bCs/>
          <w:color w:val="000000"/>
          <w:sz w:val="24"/>
          <w:szCs w:val="24"/>
          <w:lang w:eastAsia="en-GB"/>
        </w:rPr>
        <w:t>1. Risk management leaders understand how risks interconnect and impact business.</w:t>
      </w:r>
      <w:r w:rsidRPr="00E05824">
        <w:rPr>
          <w:rFonts w:ascii="Helvetica" w:eastAsia="Times New Roman" w:hAnsi="Helvetica" w:cs="Times New Roman"/>
          <w:color w:val="000000"/>
          <w:sz w:val="24"/>
          <w:szCs w:val="24"/>
          <w:lang w:eastAsia="en-GB"/>
        </w:rPr>
        <w:t> The study found that 70 percent of risk management leaders say they can see how risks interconnect and cascade, as compared with only 23 percent of non-leaders in risk management. Risk management leaders are also more likely to compile an aggregated view of risks when making decisions (73 percent of leaders vs. 27 percent of non-leaders). This gives them a clear and realistic understanding of operational issues and market opportunities.</w:t>
      </w:r>
    </w:p>
    <w:p w:rsidR="00BE0483" w:rsidRPr="00E05824" w:rsidRDefault="00BE0483" w:rsidP="00BE0483">
      <w:pPr>
        <w:shd w:val="clear" w:color="auto" w:fill="FFFFFF"/>
        <w:spacing w:after="299" w:line="240" w:lineRule="auto"/>
        <w:rPr>
          <w:rFonts w:ascii="Helvetica" w:eastAsia="Times New Roman" w:hAnsi="Helvetica" w:cs="Times New Roman"/>
          <w:color w:val="000000"/>
          <w:sz w:val="24"/>
          <w:szCs w:val="24"/>
          <w:lang w:eastAsia="en-GB"/>
        </w:rPr>
      </w:pPr>
      <w:r w:rsidRPr="00E05824">
        <w:rPr>
          <w:rFonts w:ascii="Helvetica" w:eastAsia="Times New Roman" w:hAnsi="Helvetica" w:cs="Times New Roman"/>
          <w:b/>
          <w:bCs/>
          <w:color w:val="000000"/>
          <w:sz w:val="24"/>
          <w:szCs w:val="24"/>
          <w:lang w:eastAsia="en-GB"/>
        </w:rPr>
        <w:t>2. Risk management leaders have a strategic understanding of their risk appetite and are willing to take risks.</w:t>
      </w:r>
      <w:r w:rsidRPr="00E05824">
        <w:rPr>
          <w:rFonts w:ascii="Helvetica" w:eastAsia="Times New Roman" w:hAnsi="Helvetica" w:cs="Times New Roman"/>
          <w:color w:val="000000"/>
          <w:sz w:val="24"/>
          <w:szCs w:val="24"/>
          <w:lang w:eastAsia="en-GB"/>
        </w:rPr>
        <w:t> With a thorough understanding of potential risks, risk management leaders actually have a high or very high appetite for risk, according to the report. Nearly 90 percent of risk leaders say they are increasingly taking a risk-enabled approach to growth.</w:t>
      </w:r>
    </w:p>
    <w:p w:rsidR="00BE0483" w:rsidRPr="00E05824" w:rsidRDefault="00BE0483" w:rsidP="00BE0483">
      <w:pPr>
        <w:shd w:val="clear" w:color="auto" w:fill="FFFFFF"/>
        <w:spacing w:after="299" w:line="240" w:lineRule="auto"/>
        <w:rPr>
          <w:rFonts w:ascii="Helvetica" w:eastAsia="Times New Roman" w:hAnsi="Helvetica" w:cs="Times New Roman"/>
          <w:color w:val="000000"/>
          <w:sz w:val="24"/>
          <w:szCs w:val="24"/>
          <w:lang w:eastAsia="en-GB"/>
        </w:rPr>
      </w:pPr>
      <w:r w:rsidRPr="00E05824">
        <w:rPr>
          <w:rFonts w:ascii="Helvetica" w:eastAsia="Times New Roman" w:hAnsi="Helvetica" w:cs="Times New Roman"/>
          <w:color w:val="000000"/>
          <w:sz w:val="24"/>
          <w:szCs w:val="24"/>
          <w:lang w:eastAsia="en-GB"/>
        </w:rPr>
        <w:t>"Analyzing and assessing how different business risks affect one another is an essential step in achieving a holistic and accurate risk management perspective," says Brian Schwartz, PwC's U.S. Performance Governance, Risk and Compliance leader. "Undertaking systematic review that determines what aggregated level of risk a company is willing to take on — and ensuring that all business units understand those limits — remains a central tenet of risk management leadership."</w:t>
      </w:r>
    </w:p>
    <w:p w:rsidR="00BE0483" w:rsidRDefault="00BE0483" w:rsidP="00BE0483">
      <w:pPr>
        <w:shd w:val="clear" w:color="auto" w:fill="FFFFFF"/>
        <w:spacing w:after="299" w:line="240" w:lineRule="auto"/>
        <w:rPr>
          <w:rFonts w:ascii="Helvetica" w:eastAsia="Times New Roman" w:hAnsi="Helvetica" w:cs="Times New Roman"/>
          <w:b/>
          <w:bCs/>
          <w:color w:val="000000"/>
          <w:sz w:val="24"/>
          <w:szCs w:val="24"/>
          <w:lang w:eastAsia="en-GB"/>
        </w:rPr>
      </w:pPr>
    </w:p>
    <w:p w:rsidR="00BE0483" w:rsidRPr="00E05824" w:rsidRDefault="00BE0483" w:rsidP="00BE0483">
      <w:pPr>
        <w:shd w:val="clear" w:color="auto" w:fill="FFFFFF"/>
        <w:spacing w:after="299" w:line="240" w:lineRule="auto"/>
        <w:rPr>
          <w:rFonts w:ascii="Helvetica" w:eastAsia="Times New Roman" w:hAnsi="Helvetica" w:cs="Times New Roman"/>
          <w:color w:val="000000"/>
          <w:sz w:val="24"/>
          <w:szCs w:val="24"/>
          <w:lang w:eastAsia="en-GB"/>
        </w:rPr>
      </w:pPr>
      <w:r w:rsidRPr="00E05824">
        <w:rPr>
          <w:rFonts w:ascii="Helvetica" w:eastAsia="Times New Roman" w:hAnsi="Helvetica" w:cs="Times New Roman"/>
          <w:b/>
          <w:bCs/>
          <w:color w:val="000000"/>
          <w:sz w:val="24"/>
          <w:szCs w:val="24"/>
          <w:lang w:eastAsia="en-GB"/>
        </w:rPr>
        <w:t>3. Risk management leaders are more aligned across business units.</w:t>
      </w:r>
      <w:r w:rsidRPr="00E05824">
        <w:rPr>
          <w:rFonts w:ascii="Helvetica" w:eastAsia="Times New Roman" w:hAnsi="Helvetica" w:cs="Times New Roman"/>
          <w:color w:val="000000"/>
          <w:sz w:val="24"/>
          <w:szCs w:val="24"/>
          <w:lang w:eastAsia="en-GB"/>
        </w:rPr>
        <w:t> Fully 90 percent of risk management leaders (compared with 36 percent of non-leaders) say their risk management program is fully aligned or very aligned with their company's strategic planning process.</w:t>
      </w:r>
    </w:p>
    <w:p w:rsidR="00BE0483" w:rsidRPr="00E05824" w:rsidRDefault="00BE0483" w:rsidP="00BE0483">
      <w:pPr>
        <w:shd w:val="clear" w:color="auto" w:fill="FFFFFF"/>
        <w:spacing w:after="299" w:line="240" w:lineRule="auto"/>
        <w:rPr>
          <w:rFonts w:ascii="Helvetica" w:eastAsia="Times New Roman" w:hAnsi="Helvetica" w:cs="Times New Roman"/>
          <w:color w:val="000000"/>
          <w:sz w:val="24"/>
          <w:szCs w:val="24"/>
          <w:lang w:eastAsia="en-GB"/>
        </w:rPr>
      </w:pPr>
      <w:r w:rsidRPr="00E05824">
        <w:rPr>
          <w:rFonts w:ascii="Helvetica" w:eastAsia="Times New Roman" w:hAnsi="Helvetica" w:cs="Times New Roman"/>
          <w:color w:val="000000"/>
          <w:sz w:val="24"/>
          <w:szCs w:val="24"/>
          <w:lang w:eastAsia="en-GB"/>
        </w:rPr>
        <w:t>PwC says risk leaders also demonstrate greater cross-functional alignment, particularly with finance (93 percent vs. 58 percent), internal audit (95 percent vs. 65 percent) and corporate compliance (93 percent vs. 55 percent). Risk management leaders are also much more likely (67 percent vs. 43 percent) to involve risk analysis in the decision-making process.</w:t>
      </w:r>
    </w:p>
    <w:p w:rsidR="00BE0483" w:rsidRPr="00E05824" w:rsidRDefault="00BE0483" w:rsidP="00BE0483">
      <w:pPr>
        <w:shd w:val="clear" w:color="auto" w:fill="FFFFFF"/>
        <w:spacing w:after="299" w:line="240" w:lineRule="auto"/>
        <w:rPr>
          <w:rFonts w:ascii="Helvetica" w:eastAsia="Times New Roman" w:hAnsi="Helvetica" w:cs="Times New Roman"/>
          <w:color w:val="000000"/>
          <w:sz w:val="24"/>
          <w:szCs w:val="24"/>
          <w:lang w:eastAsia="en-GB"/>
        </w:rPr>
      </w:pPr>
      <w:r w:rsidRPr="00E05824">
        <w:rPr>
          <w:rFonts w:ascii="Helvetica" w:eastAsia="Times New Roman" w:hAnsi="Helvetica" w:cs="Times New Roman"/>
          <w:color w:val="000000"/>
          <w:sz w:val="24"/>
          <w:szCs w:val="24"/>
          <w:lang w:eastAsia="en-GB"/>
        </w:rPr>
        <w:t xml:space="preserve">PwC says this lends them great speed and agility in neutralizing threats and seizing opportunities. "Business leaders see the landscape today as one of both threat and opportunity, in roughly equal proportions," says Dennis L. </w:t>
      </w:r>
      <w:proofErr w:type="spellStart"/>
      <w:r w:rsidRPr="00E05824">
        <w:rPr>
          <w:rFonts w:ascii="Helvetica" w:eastAsia="Times New Roman" w:hAnsi="Helvetica" w:cs="Times New Roman"/>
          <w:color w:val="000000"/>
          <w:sz w:val="24"/>
          <w:szCs w:val="24"/>
          <w:lang w:eastAsia="en-GB"/>
        </w:rPr>
        <w:t>Chesley</w:t>
      </w:r>
      <w:proofErr w:type="spellEnd"/>
      <w:r w:rsidRPr="00E05824">
        <w:rPr>
          <w:rFonts w:ascii="Helvetica" w:eastAsia="Times New Roman" w:hAnsi="Helvetica" w:cs="Times New Roman"/>
          <w:color w:val="000000"/>
          <w:sz w:val="24"/>
          <w:szCs w:val="24"/>
          <w:lang w:eastAsia="en-GB"/>
        </w:rPr>
        <w:t>, PwC global risk consulting leader. "To survive and evolve in this environment, companies need to prepare their entire organizations to take advantage of big shifts ahead of the competition."</w:t>
      </w:r>
    </w:p>
    <w:p w:rsidR="00BE0483" w:rsidRPr="00E05824" w:rsidRDefault="00BE0483" w:rsidP="00BE0483">
      <w:pPr>
        <w:shd w:val="clear" w:color="auto" w:fill="FFFFFF"/>
        <w:spacing w:after="299" w:line="240" w:lineRule="auto"/>
        <w:rPr>
          <w:rFonts w:ascii="Helvetica" w:eastAsia="Times New Roman" w:hAnsi="Helvetica" w:cs="Times New Roman"/>
          <w:color w:val="000000"/>
          <w:sz w:val="24"/>
          <w:szCs w:val="24"/>
          <w:lang w:eastAsia="en-GB"/>
        </w:rPr>
      </w:pPr>
      <w:r w:rsidRPr="00E05824">
        <w:rPr>
          <w:rFonts w:ascii="Helvetica" w:eastAsia="Times New Roman" w:hAnsi="Helvetica" w:cs="Times New Roman"/>
          <w:b/>
          <w:bCs/>
          <w:color w:val="000000"/>
          <w:sz w:val="24"/>
          <w:szCs w:val="24"/>
          <w:lang w:eastAsia="en-GB"/>
        </w:rPr>
        <w:t>4. Risk management leaders apply more sophisticated techniques.</w:t>
      </w:r>
      <w:r w:rsidRPr="00E05824">
        <w:rPr>
          <w:rFonts w:ascii="Helvetica" w:eastAsia="Times New Roman" w:hAnsi="Helvetica" w:cs="Times New Roman"/>
          <w:color w:val="000000"/>
          <w:sz w:val="24"/>
          <w:szCs w:val="24"/>
          <w:lang w:eastAsia="en-GB"/>
        </w:rPr>
        <w:t> PwC found that 46 percent of risk management leaders spend more time calculating and preparing for risk than reacting to it, as compared with 21 percent of non-leaders. Risk leaders also use a variety of tools, including identification and forecasting of emerging risks (96 percent vs. 59 percent), horizon scanning and early-warning indicators (81 percent vs. 33 percent) and building organizational resilience to risk (88 percent vs. 42 percent).</w:t>
      </w:r>
    </w:p>
    <w:p w:rsidR="00BE0483" w:rsidRPr="00E05824" w:rsidRDefault="00BE0483" w:rsidP="00BE0483">
      <w:pPr>
        <w:shd w:val="clear" w:color="auto" w:fill="FFFFFF"/>
        <w:spacing w:after="299" w:line="240" w:lineRule="auto"/>
        <w:rPr>
          <w:rFonts w:ascii="Helvetica" w:eastAsia="Times New Roman" w:hAnsi="Helvetica" w:cs="Times New Roman"/>
          <w:color w:val="000000"/>
          <w:sz w:val="24"/>
          <w:szCs w:val="24"/>
          <w:lang w:eastAsia="en-GB"/>
        </w:rPr>
      </w:pPr>
      <w:r w:rsidRPr="00E05824">
        <w:rPr>
          <w:rFonts w:ascii="Helvetica" w:eastAsia="Times New Roman" w:hAnsi="Helvetica" w:cs="Times New Roman"/>
          <w:color w:val="000000"/>
          <w:sz w:val="24"/>
          <w:szCs w:val="24"/>
          <w:lang w:eastAsia="en-GB"/>
        </w:rPr>
        <w:t>New analytics systems are also making it easier than ever to bring disparate data together to create insight. "When executives have the power to collect the right data and synthesize this data into actionable intelligence, they are empowered with a deeper understanding of their business and of the drivers that impact performance," says John Sabatini, leader of PwC's risk and compliance systems and analytics practice. "We can now do things that weren't possible a decade ago. This allows for much better decision-making."</w:t>
      </w:r>
    </w:p>
    <w:p w:rsidR="00BE0483" w:rsidRDefault="00BE0483" w:rsidP="00BE0483"/>
    <w:p w:rsidR="00BE0483" w:rsidRDefault="00BE0483" w:rsidP="00BE0483">
      <w:pPr>
        <w:spacing w:after="120"/>
        <w:rPr>
          <w:sz w:val="20"/>
          <w:szCs w:val="20"/>
        </w:rPr>
      </w:pPr>
    </w:p>
    <w:p w:rsidR="00BE0483" w:rsidRDefault="00BE0483" w:rsidP="00BE0483"/>
    <w:p w:rsidR="00BE0483" w:rsidRDefault="00BE0483" w:rsidP="00BE0483"/>
    <w:p w:rsidR="00BE0483" w:rsidRDefault="00BE0483" w:rsidP="00BE0483"/>
    <w:p w:rsidR="00BE0483" w:rsidRDefault="00BE0483" w:rsidP="00BE0483"/>
    <w:p w:rsidR="00BE0483" w:rsidRDefault="00BE0483" w:rsidP="00BE0483"/>
    <w:p w:rsidR="00BE0483" w:rsidRDefault="00BE0483" w:rsidP="00BE0483"/>
    <w:p w:rsidR="00BE0483" w:rsidRPr="00CA366E" w:rsidRDefault="00BE0483" w:rsidP="00BE0483">
      <w:pPr>
        <w:shd w:val="solid" w:color="FFFFFF" w:fill="auto"/>
        <w:autoSpaceDN w:val="0"/>
        <w:spacing w:after="375" w:line="750" w:lineRule="atLeast"/>
        <w:rPr>
          <w:b/>
          <w:i/>
          <w:caps/>
          <w:sz w:val="32"/>
          <w:szCs w:val="32"/>
          <w:u w:val="single"/>
          <w:shd w:val="clear" w:color="auto" w:fill="FFFFFF"/>
        </w:rPr>
      </w:pPr>
      <w:r w:rsidRPr="00CA366E">
        <w:rPr>
          <w:b/>
          <w:i/>
          <w:caps/>
          <w:sz w:val="32"/>
          <w:szCs w:val="32"/>
          <w:u w:val="single"/>
          <w:shd w:val="clear" w:color="auto" w:fill="FFFFFF"/>
        </w:rPr>
        <w:t>THE 6 FUNDAMENTAL TECHNIQUES OF RISK CONTROL</w:t>
      </w:r>
    </w:p>
    <w:p w:rsidR="00BE0483" w:rsidRPr="00CA366E" w:rsidRDefault="00BE0483" w:rsidP="00BE0483">
      <w:pPr>
        <w:shd w:val="solid" w:color="FFFFFF" w:fill="auto"/>
        <w:autoSpaceDN w:val="0"/>
        <w:spacing w:after="375" w:line="360" w:lineRule="atLeast"/>
        <w:rPr>
          <w:sz w:val="25"/>
          <w:shd w:val="clear" w:color="auto" w:fill="FFFFFF"/>
        </w:rPr>
      </w:pPr>
      <w:r w:rsidRPr="00CA366E">
        <w:rPr>
          <w:sz w:val="25"/>
          <w:shd w:val="clear" w:color="auto" w:fill="FFFFFF"/>
        </w:rPr>
        <w:t>Here are the 6 techniques associated with risk control.</w:t>
      </w:r>
    </w:p>
    <w:p w:rsidR="00BE0483" w:rsidRPr="00CA366E" w:rsidRDefault="00BE0483" w:rsidP="00BE0483">
      <w:pPr>
        <w:shd w:val="solid" w:color="FFFFFF" w:fill="auto"/>
        <w:autoSpaceDN w:val="0"/>
        <w:spacing w:after="300" w:line="360" w:lineRule="atLeast"/>
        <w:ind w:left="-285"/>
        <w:rPr>
          <w:sz w:val="30"/>
          <w:shd w:val="clear" w:color="auto" w:fill="FFFFFF"/>
        </w:rPr>
      </w:pPr>
      <w:r w:rsidRPr="00CA366E">
        <w:rPr>
          <w:sz w:val="30"/>
          <w:shd w:val="clear" w:color="auto" w:fill="FFFFFF"/>
        </w:rPr>
        <w:t>Avoidance</w:t>
      </w:r>
    </w:p>
    <w:p w:rsidR="00BE0483" w:rsidRPr="00CA366E" w:rsidRDefault="00BE0483" w:rsidP="00BE0483">
      <w:pPr>
        <w:shd w:val="solid" w:color="FFFFFF" w:fill="auto"/>
        <w:autoSpaceDN w:val="0"/>
        <w:spacing w:after="300" w:line="360" w:lineRule="atLeast"/>
        <w:ind w:left="-285"/>
        <w:rPr>
          <w:sz w:val="25"/>
          <w:shd w:val="clear" w:color="auto" w:fill="FFFFFF"/>
        </w:rPr>
      </w:pPr>
      <w:r w:rsidRPr="00CA366E">
        <w:rPr>
          <w:sz w:val="25"/>
          <w:shd w:val="clear" w:color="auto" w:fill="FFFFFF"/>
        </w:rPr>
        <w:t>Avoidance is the best means of loss control. This is because, as the name implies, you’re avoiding the risk completely. If your efforts at avoiding the loss have been successful, then there is a 0% probability that you’ll suffer a loss (from that particular risk factor, anyway). This is why avoidance is generally the first of the risk control techniques that’s considered. It’s a means of completely eliminating a threat.</w:t>
      </w:r>
    </w:p>
    <w:p w:rsidR="00BE0483" w:rsidRPr="00CA366E" w:rsidRDefault="00BE0483" w:rsidP="00BE0483">
      <w:pPr>
        <w:shd w:val="solid" w:color="FFFFFF" w:fill="auto"/>
        <w:autoSpaceDN w:val="0"/>
        <w:spacing w:after="300" w:line="360" w:lineRule="atLeast"/>
        <w:ind w:left="-285"/>
        <w:rPr>
          <w:sz w:val="30"/>
          <w:shd w:val="clear" w:color="auto" w:fill="FFFFFF"/>
        </w:rPr>
      </w:pPr>
      <w:r w:rsidRPr="00CA366E">
        <w:rPr>
          <w:sz w:val="30"/>
          <w:shd w:val="clear" w:color="auto" w:fill="FFFFFF"/>
        </w:rPr>
        <w:t>Loss Prevention</w:t>
      </w:r>
    </w:p>
    <w:p w:rsidR="00BE0483" w:rsidRPr="00CA366E" w:rsidRDefault="00BE0483" w:rsidP="00BE0483">
      <w:pPr>
        <w:shd w:val="solid" w:color="FFFFFF" w:fill="auto"/>
        <w:autoSpaceDN w:val="0"/>
        <w:spacing w:after="300" w:line="360" w:lineRule="atLeast"/>
        <w:ind w:left="-285"/>
        <w:rPr>
          <w:sz w:val="25"/>
          <w:shd w:val="clear" w:color="auto" w:fill="FFFFFF"/>
        </w:rPr>
      </w:pPr>
      <w:r w:rsidRPr="00CA366E">
        <w:rPr>
          <w:sz w:val="25"/>
          <w:shd w:val="clear" w:color="auto" w:fill="FFFFFF"/>
        </w:rPr>
        <w:t>Loss prevention is a technique that limits, rather than eliminates, loss. Instead of avoiding a risk completely, this technique accepts a risk but attempts to minimize the loss as a result of it. For example, storing inventory in a warehouse means that it is susceptible to theft. However, since there really is no way to avoid it, a loss prevention program is put in place to minimize the loss. This program can include patrolling security guards, video cameras, and secured storage facilities.</w:t>
      </w:r>
    </w:p>
    <w:p w:rsidR="00BE0483" w:rsidRPr="00CA366E" w:rsidRDefault="00BE0483" w:rsidP="00BE0483">
      <w:pPr>
        <w:shd w:val="solid" w:color="FFFFFF" w:fill="auto"/>
        <w:autoSpaceDN w:val="0"/>
        <w:spacing w:after="300" w:line="360" w:lineRule="atLeast"/>
        <w:ind w:left="-285"/>
        <w:rPr>
          <w:sz w:val="30"/>
          <w:shd w:val="clear" w:color="auto" w:fill="FFFFFF"/>
        </w:rPr>
      </w:pPr>
      <w:r w:rsidRPr="00CA366E">
        <w:rPr>
          <w:sz w:val="30"/>
          <w:shd w:val="clear" w:color="auto" w:fill="FFFFFF"/>
        </w:rPr>
        <w:t>Loss Reduction</w:t>
      </w:r>
    </w:p>
    <w:p w:rsidR="00BE0483" w:rsidRPr="00CA366E" w:rsidRDefault="00BE0483" w:rsidP="00BE0483">
      <w:pPr>
        <w:shd w:val="solid" w:color="FFFFFF" w:fill="auto"/>
        <w:autoSpaceDN w:val="0"/>
        <w:spacing w:after="300" w:line="360" w:lineRule="atLeast"/>
        <w:ind w:left="-285"/>
        <w:rPr>
          <w:sz w:val="25"/>
          <w:shd w:val="clear" w:color="auto" w:fill="FFFFFF"/>
        </w:rPr>
      </w:pPr>
      <w:r w:rsidRPr="00CA366E">
        <w:rPr>
          <w:sz w:val="25"/>
          <w:shd w:val="clear" w:color="auto" w:fill="FFFFFF"/>
        </w:rPr>
        <w:t>Loss reduction is a technique that not only accepts risk, but accepts the fact that loss might occur as a result of the risk. This technique will seek to minimize the loss in the event of some type of threat. For example, a company might need to store flammable material in a warehouse. Company management realizes that this is a necessary risk and decides to install state-of-the-art water sprinklers in the warehouse. If a fire occurs, the amount of loss will be minimized.</w:t>
      </w:r>
    </w:p>
    <w:p w:rsidR="00BE0483" w:rsidRPr="00CA366E" w:rsidRDefault="00BE0483" w:rsidP="00BE0483">
      <w:pPr>
        <w:shd w:val="solid" w:color="FFFFFF" w:fill="auto"/>
        <w:autoSpaceDN w:val="0"/>
        <w:spacing w:after="300" w:line="360" w:lineRule="atLeast"/>
        <w:ind w:left="-285"/>
        <w:rPr>
          <w:sz w:val="25"/>
          <w:shd w:val="clear" w:color="auto" w:fill="FFFFFF"/>
        </w:rPr>
      </w:pPr>
    </w:p>
    <w:p w:rsidR="00BE0483" w:rsidRPr="00CA366E" w:rsidRDefault="00BE0483" w:rsidP="00BE0483">
      <w:pPr>
        <w:shd w:val="solid" w:color="FFFFFF" w:fill="auto"/>
        <w:autoSpaceDN w:val="0"/>
        <w:spacing w:after="300" w:line="360" w:lineRule="atLeast"/>
        <w:ind w:left="-285"/>
        <w:rPr>
          <w:sz w:val="25"/>
          <w:shd w:val="clear" w:color="auto" w:fill="FFFFFF"/>
        </w:rPr>
      </w:pPr>
    </w:p>
    <w:p w:rsidR="00BE0483" w:rsidRPr="00CA366E" w:rsidRDefault="00BE0483" w:rsidP="00BE0483">
      <w:pPr>
        <w:shd w:val="solid" w:color="FFFFFF" w:fill="auto"/>
        <w:autoSpaceDN w:val="0"/>
        <w:spacing w:after="300" w:line="360" w:lineRule="atLeast"/>
        <w:ind w:left="-285"/>
        <w:rPr>
          <w:sz w:val="30"/>
          <w:shd w:val="clear" w:color="auto" w:fill="FFFFFF"/>
        </w:rPr>
      </w:pPr>
      <w:r w:rsidRPr="00CA366E">
        <w:rPr>
          <w:sz w:val="30"/>
          <w:shd w:val="clear" w:color="auto" w:fill="FFFFFF"/>
        </w:rPr>
        <w:t>Separation</w:t>
      </w:r>
    </w:p>
    <w:p w:rsidR="00BE0483" w:rsidRPr="00CA366E" w:rsidRDefault="00BE0483" w:rsidP="00BE0483">
      <w:pPr>
        <w:shd w:val="solid" w:color="FFFFFF" w:fill="auto"/>
        <w:autoSpaceDN w:val="0"/>
        <w:spacing w:after="300" w:line="360" w:lineRule="atLeast"/>
        <w:ind w:left="-285"/>
        <w:rPr>
          <w:sz w:val="25"/>
          <w:shd w:val="clear" w:color="auto" w:fill="FFFFFF"/>
        </w:rPr>
      </w:pPr>
      <w:r w:rsidRPr="00CA366E">
        <w:rPr>
          <w:sz w:val="25"/>
          <w:shd w:val="clear" w:color="auto" w:fill="FFFFFF"/>
        </w:rPr>
        <w:t>Separation is a risk control technique that involves dispersing key assets. This ensures that if something catastrophic occurs at one location, the impact to the business is limited to the assets only at that location. On the other hand, if all assets were at that location, then the business would face a much more serious challenge. An example of this is when a company utilizes a geographically diversified workforce.</w:t>
      </w:r>
    </w:p>
    <w:p w:rsidR="00BE0483" w:rsidRPr="00CA366E" w:rsidRDefault="00BE0483" w:rsidP="00BE0483">
      <w:pPr>
        <w:shd w:val="solid" w:color="FFFFFF" w:fill="auto"/>
        <w:autoSpaceDN w:val="0"/>
        <w:spacing w:after="300" w:line="360" w:lineRule="atLeast"/>
        <w:ind w:left="-285"/>
        <w:rPr>
          <w:sz w:val="30"/>
          <w:shd w:val="clear" w:color="auto" w:fill="FFFFFF"/>
        </w:rPr>
      </w:pPr>
      <w:r w:rsidRPr="00CA366E">
        <w:rPr>
          <w:sz w:val="30"/>
          <w:shd w:val="clear" w:color="auto" w:fill="FFFFFF"/>
        </w:rPr>
        <w:t>Duplication</w:t>
      </w:r>
    </w:p>
    <w:p w:rsidR="00BE0483" w:rsidRPr="00CA366E" w:rsidRDefault="00BE0483" w:rsidP="00BE0483">
      <w:pPr>
        <w:shd w:val="solid" w:color="FFFFFF" w:fill="auto"/>
        <w:autoSpaceDN w:val="0"/>
        <w:spacing w:after="300" w:line="360" w:lineRule="atLeast"/>
        <w:ind w:left="-285"/>
        <w:rPr>
          <w:sz w:val="25"/>
          <w:shd w:val="clear" w:color="auto" w:fill="FFFFFF"/>
        </w:rPr>
      </w:pPr>
      <w:r w:rsidRPr="00CA366E">
        <w:rPr>
          <w:sz w:val="25"/>
          <w:shd w:val="clear" w:color="auto" w:fill="FFFFFF"/>
        </w:rPr>
        <w:t>Duplication is a risk control technique that essentially involves the creation of a backup plan. This is often necessary with technology. A failure with an information systems server shouldn’t bring the whole business to a halt. Instead, a backup or fail-over server should be readily available for access in the event that the primary server fails. Another example of duplication as a risk control technique is when a company makes use of a disaster recovery service.</w:t>
      </w:r>
    </w:p>
    <w:p w:rsidR="00BE0483" w:rsidRPr="00CA366E" w:rsidRDefault="00BE0483" w:rsidP="00BE0483">
      <w:pPr>
        <w:shd w:val="solid" w:color="FFFFFF" w:fill="auto"/>
        <w:autoSpaceDN w:val="0"/>
        <w:spacing w:after="300" w:line="360" w:lineRule="atLeast"/>
        <w:ind w:left="-285"/>
        <w:rPr>
          <w:sz w:val="30"/>
          <w:shd w:val="clear" w:color="auto" w:fill="FFFFFF"/>
        </w:rPr>
      </w:pPr>
      <w:r w:rsidRPr="00CA366E">
        <w:rPr>
          <w:sz w:val="30"/>
          <w:shd w:val="clear" w:color="auto" w:fill="FFFFFF"/>
        </w:rPr>
        <w:t>Diversification</w:t>
      </w:r>
    </w:p>
    <w:p w:rsidR="00BE0483" w:rsidRPr="00CA366E" w:rsidRDefault="00BE0483" w:rsidP="00BE0483">
      <w:pPr>
        <w:shd w:val="solid" w:color="FFFFFF" w:fill="auto"/>
        <w:autoSpaceDN w:val="0"/>
        <w:spacing w:after="300" w:line="360" w:lineRule="atLeast"/>
        <w:ind w:left="-285"/>
        <w:rPr>
          <w:sz w:val="25"/>
          <w:shd w:val="clear" w:color="auto" w:fill="FFFFFF"/>
        </w:rPr>
      </w:pPr>
      <w:r w:rsidRPr="00CA366E">
        <w:rPr>
          <w:sz w:val="25"/>
          <w:shd w:val="clear" w:color="auto" w:fill="FFFFFF"/>
        </w:rPr>
        <w:t>Diversification is a risk control technique that allocates business resources to create multiple lines of business that offer a variety of products and/or services in different industries. With diversification, a significant revenue loss from one line of business will not cause irreparable harm to the company’s bottom line.</w:t>
      </w:r>
    </w:p>
    <w:p w:rsidR="00BE0483" w:rsidRPr="00CA366E" w:rsidRDefault="00BE0483" w:rsidP="00BE0483">
      <w:pPr>
        <w:shd w:val="solid" w:color="FFFFFF" w:fill="auto"/>
        <w:autoSpaceDN w:val="0"/>
        <w:spacing w:after="300" w:line="360" w:lineRule="atLeast"/>
        <w:ind w:left="-285"/>
        <w:rPr>
          <w:sz w:val="25"/>
          <w:shd w:val="clear" w:color="auto" w:fill="FFFFFF"/>
        </w:rPr>
      </w:pPr>
      <w:r w:rsidRPr="00CA366E">
        <w:rPr>
          <w:sz w:val="25"/>
          <w:shd w:val="clear" w:color="auto" w:fill="FFFFFF"/>
        </w:rPr>
        <w:t>Risk control is a key component in any sound company strategy. It’s necessary to ensure long-term organization sustainability and profitability.</w:t>
      </w:r>
    </w:p>
    <w:p w:rsidR="00BE0483" w:rsidRPr="00CA366E" w:rsidRDefault="00BE0483" w:rsidP="00BE0483"/>
    <w:p w:rsidR="00BE0483" w:rsidRDefault="00BE0483" w:rsidP="00BE0483"/>
    <w:p w:rsidR="00BE0483" w:rsidRPr="00097EE7" w:rsidRDefault="00BE0483" w:rsidP="00BE0483"/>
    <w:p w:rsidR="00BE0483" w:rsidRPr="00523F68" w:rsidRDefault="00BE0483" w:rsidP="00523F68">
      <w:pPr>
        <w:shd w:val="clear" w:color="auto" w:fill="FFFFFF"/>
        <w:spacing w:after="384" w:line="240" w:lineRule="auto"/>
        <w:rPr>
          <w:rFonts w:ascii="Times New Roman" w:eastAsia="Times New Roman" w:hAnsi="Times New Roman" w:cs="Times New Roman"/>
          <w:sz w:val="30"/>
          <w:szCs w:val="30"/>
          <w:lang w:eastAsia="en-GB"/>
        </w:rPr>
      </w:pPr>
    </w:p>
    <w:sectPr w:rsidR="00BE0483" w:rsidRPr="00523F68" w:rsidSect="0045425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lestesans-bold">
    <w:altName w:val="Times New Roman"/>
    <w:charset w:val="01"/>
    <w:family w:val="auto"/>
    <w:pitch w:val="default"/>
    <w:sig w:usb0="00000000" w:usb1="00000000" w:usb2="00000000" w:usb3="00000000" w:csb0="00040001" w:csb1="00000000"/>
  </w:font>
  <w:font w:name="celestesans">
    <w:altName w:val="Times New Roman"/>
    <w:charset w:val="01"/>
    <w:family w:val="auto"/>
    <w:pitch w:val="default"/>
    <w:sig w:usb0="00000000" w:usb1="00000000" w:usb2="00000000" w:usb3="00000000" w:csb0="00040001"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B"/>
    <w:multiLevelType w:val="multilevel"/>
    <w:tmpl w:val="0000000B"/>
    <w:lvl w:ilvl="0">
      <w:start w:val="1"/>
      <w:numFmt w:val="bullet"/>
      <w:lvlText w:val=""/>
      <w:lvlJc w:val="left"/>
      <w:pPr>
        <w:tabs>
          <w:tab w:val="num" w:pos="720"/>
        </w:tabs>
        <w:ind w:left="360" w:firstLine="0"/>
      </w:pPr>
      <w:rPr>
        <w:rFonts w:ascii="Symbol" w:hAnsi="Symbol" w:hint="default"/>
        <w:b w:val="0"/>
        <w:i w:val="0"/>
        <w:snapToGrid/>
        <w:color w:val="4D4D4D"/>
        <w:sz w:val="25"/>
        <w:shd w:val="clear" w:color="auto" w:fill="FFFFFF"/>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
    <w:nsid w:val="08F12E38"/>
    <w:multiLevelType w:val="singleLevel"/>
    <w:tmpl w:val="475C0DC4"/>
    <w:lvl w:ilvl="0">
      <w:start w:val="1"/>
      <w:numFmt w:val="bullet"/>
      <w:lvlText w:val=""/>
      <w:lvlJc w:val="left"/>
      <w:pPr>
        <w:tabs>
          <w:tab w:val="num" w:pos="360"/>
        </w:tabs>
        <w:ind w:left="360" w:hanging="360"/>
      </w:pPr>
      <w:rPr>
        <w:rFonts w:ascii="Symbol" w:hAnsi="Symbol" w:hint="default"/>
      </w:rPr>
    </w:lvl>
  </w:abstractNum>
  <w:abstractNum w:abstractNumId="2">
    <w:nsid w:val="0B195E62"/>
    <w:multiLevelType w:val="hybridMultilevel"/>
    <w:tmpl w:val="516051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38A01B09"/>
    <w:multiLevelType w:val="hybridMultilevel"/>
    <w:tmpl w:val="E2624B9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nsid w:val="473E568D"/>
    <w:multiLevelType w:val="singleLevel"/>
    <w:tmpl w:val="475C0DC4"/>
    <w:lvl w:ilvl="0">
      <w:start w:val="1"/>
      <w:numFmt w:val="bullet"/>
      <w:lvlText w:val=""/>
      <w:lvlJc w:val="left"/>
      <w:pPr>
        <w:tabs>
          <w:tab w:val="num" w:pos="360"/>
        </w:tabs>
        <w:ind w:left="360" w:hanging="360"/>
      </w:pPr>
      <w:rPr>
        <w:rFonts w:ascii="Symbol" w:hAnsi="Symbol" w:hint="default"/>
      </w:rPr>
    </w:lvl>
  </w:abstractNum>
  <w:abstractNum w:abstractNumId="5">
    <w:nsid w:val="62563CDB"/>
    <w:multiLevelType w:val="multilevel"/>
    <w:tmpl w:val="3CAE558E"/>
    <w:lvl w:ilvl="0">
      <w:start w:val="1"/>
      <w:numFmt w:val="decimal"/>
      <w:pStyle w:val="Style2"/>
      <w:lvlText w:val="%1"/>
      <w:lvlJc w:val="left"/>
      <w:pPr>
        <w:tabs>
          <w:tab w:val="num" w:pos="720"/>
        </w:tabs>
        <w:ind w:left="720" w:hanging="720"/>
      </w:pPr>
      <w:rPr>
        <w:rFonts w:hint="default"/>
      </w:rPr>
    </w:lvl>
    <w:lvl w:ilvl="1">
      <w:start w:val="1"/>
      <w:numFmt w:val="decimal"/>
      <w:pStyle w:val="Style3"/>
      <w:lvlText w:val="1.%2"/>
      <w:lvlJc w:val="left"/>
      <w:pPr>
        <w:tabs>
          <w:tab w:val="num" w:pos="1440"/>
        </w:tabs>
        <w:ind w:left="1440" w:hanging="720"/>
      </w:pPr>
      <w:rPr>
        <w:rFonts w:hint="default"/>
      </w:rPr>
    </w:lvl>
    <w:lvl w:ilvl="2">
      <w:start w:val="1"/>
      <w:numFmt w:val="lowerLetter"/>
      <w:lvlText w:val="(%3)"/>
      <w:lvlJc w:val="left"/>
      <w:pPr>
        <w:tabs>
          <w:tab w:val="num" w:pos="2160"/>
        </w:tabs>
        <w:ind w:left="2160" w:hanging="720"/>
      </w:pPr>
      <w:rPr>
        <w:rFonts w:hint="default"/>
      </w:rPr>
    </w:lvl>
    <w:lvl w:ilvl="3">
      <w:start w:val="1"/>
      <w:numFmt w:val="lowerRoman"/>
      <w:lvlText w:val="(%4)"/>
      <w:lvlJc w:val="left"/>
      <w:pPr>
        <w:tabs>
          <w:tab w:val="num" w:pos="0"/>
        </w:tabs>
        <w:ind w:left="2954" w:hanging="794"/>
      </w:pPr>
      <w:rPr>
        <w:rFonts w:hint="default"/>
      </w:rPr>
    </w:lvl>
    <w:lvl w:ilvl="4">
      <w:start w:val="1"/>
      <w:numFmt w:val="decimal"/>
      <w:lvlText w:val="(%4).%5"/>
      <w:lvlJc w:val="left"/>
      <w:pPr>
        <w:tabs>
          <w:tab w:val="num" w:pos="0"/>
        </w:tabs>
        <w:ind w:left="3674" w:hanging="720"/>
      </w:pPr>
      <w:rPr>
        <w:rFonts w:hint="default"/>
      </w:rPr>
    </w:lvl>
    <w:lvl w:ilvl="5">
      <w:start w:val="1"/>
      <w:numFmt w:val="decimal"/>
      <w:lvlText w:val="(%4).%5.%6"/>
      <w:lvlJc w:val="left"/>
      <w:pPr>
        <w:tabs>
          <w:tab w:val="num" w:pos="0"/>
        </w:tabs>
        <w:ind w:left="4394" w:hanging="720"/>
      </w:pPr>
      <w:rPr>
        <w:rFonts w:hint="default"/>
      </w:rPr>
    </w:lvl>
    <w:lvl w:ilvl="6">
      <w:start w:val="1"/>
      <w:numFmt w:val="decimal"/>
      <w:lvlText w:val="(%4).%5.%6.%7"/>
      <w:lvlJc w:val="left"/>
      <w:pPr>
        <w:tabs>
          <w:tab w:val="num" w:pos="0"/>
        </w:tabs>
        <w:ind w:left="5114" w:hanging="720"/>
      </w:pPr>
      <w:rPr>
        <w:rFonts w:hint="default"/>
      </w:rPr>
    </w:lvl>
    <w:lvl w:ilvl="7">
      <w:start w:val="1"/>
      <w:numFmt w:val="decimal"/>
      <w:lvlText w:val="(%4).%5.%6.%7.%8"/>
      <w:lvlJc w:val="left"/>
      <w:pPr>
        <w:tabs>
          <w:tab w:val="num" w:pos="0"/>
        </w:tabs>
        <w:ind w:left="5834" w:hanging="720"/>
      </w:pPr>
      <w:rPr>
        <w:rFonts w:hint="default"/>
      </w:rPr>
    </w:lvl>
    <w:lvl w:ilvl="8">
      <w:start w:val="1"/>
      <w:numFmt w:val="decimal"/>
      <w:lvlText w:val="(%4).%5.%6.%7.%8.%9"/>
      <w:lvlJc w:val="left"/>
      <w:pPr>
        <w:tabs>
          <w:tab w:val="num" w:pos="0"/>
        </w:tabs>
        <w:ind w:left="6554" w:hanging="720"/>
      </w:pPr>
      <w:rPr>
        <w:rFonts w:hint="default"/>
      </w:rPr>
    </w:lvl>
  </w:abstractNum>
  <w:abstractNum w:abstractNumId="6">
    <w:nsid w:val="7BE02356"/>
    <w:multiLevelType w:val="hybridMultilevel"/>
    <w:tmpl w:val="9064E5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7DE46D47"/>
    <w:multiLevelType w:val="singleLevel"/>
    <w:tmpl w:val="475C0DC4"/>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6"/>
  </w:num>
  <w:num w:numId="3">
    <w:abstractNumId w:val="5"/>
  </w:num>
  <w:num w:numId="4">
    <w:abstractNumId w:val="7"/>
  </w:num>
  <w:num w:numId="5">
    <w:abstractNumId w:val="1"/>
  </w:num>
  <w:num w:numId="6">
    <w:abstractNumId w:val="4"/>
  </w:num>
  <w:num w:numId="7">
    <w:abstractNumId w:val="3"/>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20"/>
  <w:characterSpacingControl w:val="doNotCompress"/>
  <w:compat/>
  <w:rsids>
    <w:rsidRoot w:val="00523F68"/>
    <w:rsid w:val="00454255"/>
    <w:rsid w:val="00523F68"/>
    <w:rsid w:val="00762E3E"/>
    <w:rsid w:val="009C168F"/>
    <w:rsid w:val="00BE048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255"/>
  </w:style>
  <w:style w:type="paragraph" w:styleId="Heading1">
    <w:name w:val="heading 1"/>
    <w:basedOn w:val="Normal"/>
    <w:next w:val="Normal"/>
    <w:link w:val="Heading1Char"/>
    <w:uiPriority w:val="9"/>
    <w:qFormat/>
    <w:rsid w:val="00BE048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23F6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3F68"/>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523F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BE0483"/>
    <w:rPr>
      <w:rFonts w:asciiTheme="majorHAnsi" w:eastAsiaTheme="majorEastAsia" w:hAnsiTheme="majorHAnsi" w:cstheme="majorBidi"/>
      <w:b/>
      <w:bCs/>
      <w:color w:val="365F91" w:themeColor="accent1" w:themeShade="BF"/>
      <w:sz w:val="28"/>
      <w:szCs w:val="28"/>
    </w:rPr>
  </w:style>
  <w:style w:type="paragraph" w:styleId="BodyTextIndent2">
    <w:name w:val="Body Text Indent 2"/>
    <w:basedOn w:val="Normal"/>
    <w:link w:val="BodyTextIndent2Char"/>
    <w:rsid w:val="00BE0483"/>
    <w:pPr>
      <w:spacing w:after="120" w:line="480" w:lineRule="auto"/>
      <w:ind w:left="283"/>
    </w:pPr>
    <w:rPr>
      <w:rFonts w:ascii="Calibri" w:eastAsia="Calibri" w:hAnsi="Calibri" w:cs="Times New Roman"/>
      <w:lang w:val="en-AU"/>
    </w:rPr>
  </w:style>
  <w:style w:type="character" w:customStyle="1" w:styleId="BodyTextIndent2Char">
    <w:name w:val="Body Text Indent 2 Char"/>
    <w:basedOn w:val="DefaultParagraphFont"/>
    <w:link w:val="BodyTextIndent2"/>
    <w:rsid w:val="00BE0483"/>
    <w:rPr>
      <w:rFonts w:ascii="Calibri" w:eastAsia="Calibri" w:hAnsi="Calibri" w:cs="Times New Roman"/>
      <w:lang w:val="en-AU"/>
    </w:rPr>
  </w:style>
  <w:style w:type="paragraph" w:customStyle="1" w:styleId="TxBrp12">
    <w:name w:val="TxBr_p12"/>
    <w:basedOn w:val="Normal"/>
    <w:rsid w:val="00BE0483"/>
    <w:pPr>
      <w:widowControl w:val="0"/>
      <w:spacing w:after="0" w:line="272" w:lineRule="atLeast"/>
      <w:jc w:val="both"/>
    </w:pPr>
    <w:rPr>
      <w:rFonts w:ascii="Times New Roman" w:eastAsia="Times New Roman" w:hAnsi="Times New Roman" w:cs="Times New Roman"/>
      <w:sz w:val="24"/>
      <w:szCs w:val="20"/>
      <w:lang w:val="en-AU"/>
    </w:rPr>
  </w:style>
  <w:style w:type="paragraph" w:customStyle="1" w:styleId="Style2">
    <w:name w:val="Style2"/>
    <w:basedOn w:val="Normal"/>
    <w:rsid w:val="00BE0483"/>
    <w:pPr>
      <w:numPr>
        <w:numId w:val="3"/>
      </w:numPr>
      <w:tabs>
        <w:tab w:val="clear" w:pos="720"/>
        <w:tab w:val="num" w:pos="1440"/>
      </w:tabs>
      <w:spacing w:after="0" w:line="240" w:lineRule="auto"/>
      <w:ind w:left="1440"/>
      <w:jc w:val="both"/>
    </w:pPr>
    <w:rPr>
      <w:rFonts w:ascii="Arial" w:eastAsia="Times New Roman" w:hAnsi="Arial" w:cs="Times New Roman"/>
      <w:b/>
      <w:sz w:val="24"/>
      <w:szCs w:val="20"/>
      <w:lang w:val="en-AU"/>
    </w:rPr>
  </w:style>
  <w:style w:type="paragraph" w:customStyle="1" w:styleId="Style3">
    <w:name w:val="Style3"/>
    <w:basedOn w:val="Normal"/>
    <w:rsid w:val="00BE0483"/>
    <w:pPr>
      <w:numPr>
        <w:ilvl w:val="1"/>
        <w:numId w:val="3"/>
      </w:numPr>
      <w:tabs>
        <w:tab w:val="clear" w:pos="1440"/>
      </w:tabs>
      <w:spacing w:after="0" w:line="240" w:lineRule="auto"/>
      <w:ind w:left="0" w:firstLine="0"/>
      <w:outlineLvl w:val="0"/>
    </w:pPr>
    <w:rPr>
      <w:rFonts w:ascii="Arial" w:eastAsia="Times New Roman" w:hAnsi="Arial" w:cs="Times New Roman"/>
      <w:b/>
      <w:sz w:val="28"/>
      <w:szCs w:val="20"/>
      <w:lang w:val="en-AU"/>
    </w:rPr>
  </w:style>
  <w:style w:type="paragraph" w:styleId="BalloonText">
    <w:name w:val="Balloon Text"/>
    <w:basedOn w:val="Normal"/>
    <w:link w:val="BalloonTextChar"/>
    <w:uiPriority w:val="99"/>
    <w:semiHidden/>
    <w:unhideWhenUsed/>
    <w:rsid w:val="00BE04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04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844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o.com/article/3252332/10-project-management-myths-to-avoid" TargetMode="External"/><Relationship Id="rId3" Type="http://schemas.openxmlformats.org/officeDocument/2006/relationships/settings" Target="settings.xml"/><Relationship Id="rId7" Type="http://schemas.openxmlformats.org/officeDocument/2006/relationships/hyperlink" Target="http://www.cio.com/article/2950579/methodology-frameworks/how-to-pick-a-project-management-methodology.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io.com/article/3211485/project-management/why-it-projects-still-fail.html"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io.com/newsletters/signu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3157</Words>
  <Characters>17995</Characters>
  <Application>Microsoft Office Word</Application>
  <DocSecurity>0</DocSecurity>
  <Lines>149</Lines>
  <Paragraphs>42</Paragraphs>
  <ScaleCrop>false</ScaleCrop>
  <Company/>
  <LinksUpToDate>false</LinksUpToDate>
  <CharactersWithSpaces>21110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kewal juggoo</dc:creator>
  <cp:keywords/>
  <dc:description/>
  <cp:lastModifiedBy>kewal juggoo</cp:lastModifiedBy>
  <cp:revision>2</cp:revision>
  <dcterms:created xsi:type="dcterms:W3CDTF">2018-03-24T17:15:00Z</dcterms:created>
  <dcterms:modified xsi:type="dcterms:W3CDTF">2018-03-24T17:15:00Z</dcterms:modified>
</cp:coreProperties>
</file>