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Default Extension="wmf" ContentType="image/x-wmf"/>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248" w:dyaOrig="2145">
          <v:rect xmlns:o="urn:schemas-microsoft-com:office:office" xmlns:v="urn:schemas-microsoft-com:vml" id="rectole0000000000" style="width:212.400000pt;height:107.2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Viorica-Elena Preda (Botosaru)</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7028</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Diploma in Accounting and Finance (Level4)</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13</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Please insert your completed assignment ( in word format)  here:</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center"/>
              <w:rPr>
                <w:rFonts w:ascii="Calibri,Bold" w:hAnsi="Calibri,Bold" w:cs="Calibri,Bold" w:eastAsia="Calibri,Bold"/>
                <w:b/>
                <w:color w:val="auto"/>
                <w:spacing w:val="0"/>
                <w:position w:val="0"/>
                <w:sz w:val="32"/>
                <w:shd w:fill="auto" w:val="clear"/>
              </w:rPr>
            </w:pPr>
            <w:r>
              <w:rPr>
                <w:rFonts w:ascii="Calibri,Bold" w:hAnsi="Calibri,Bold" w:cs="Calibri,Bold" w:eastAsia="Calibri,Bold"/>
                <w:b/>
                <w:color w:val="auto"/>
                <w:spacing w:val="0"/>
                <w:position w:val="0"/>
                <w:sz w:val="32"/>
                <w:shd w:fill="auto" w:val="clear"/>
              </w:rPr>
              <w:t xml:space="preserve">Investment Appraisal Methods</w:t>
            </w:r>
          </w:p>
          <w:p>
            <w:pPr>
              <w:spacing w:before="0" w:after="200" w:line="276"/>
              <w:ind w:right="0" w:left="0" w:firstLine="0"/>
              <w:jc w:val="center"/>
              <w:rPr>
                <w:rFonts w:ascii="Calibri,Bold" w:hAnsi="Calibri,Bold" w:cs="Calibri,Bold" w:eastAsia="Calibri,Bold"/>
                <w:b/>
                <w:color w:val="auto"/>
                <w:spacing w:val="0"/>
                <w:position w:val="0"/>
                <w:sz w:val="32"/>
                <w:shd w:fill="auto" w:val="clear"/>
              </w:rPr>
            </w:pPr>
            <w:r>
              <w:rPr>
                <w:rFonts w:ascii="Calibri,Bold" w:hAnsi="Calibri,Bold" w:cs="Calibri,Bold" w:eastAsia="Calibri,Bold"/>
                <w:b/>
                <w:color w:val="auto"/>
                <w:spacing w:val="0"/>
                <w:position w:val="0"/>
                <w:sz w:val="32"/>
                <w:shd w:fill="auto" w:val="clear"/>
              </w:rPr>
              <w:t xml:space="preserve">Assessment 13</w:t>
            </w:r>
          </w:p>
          <w:p>
            <w:pPr>
              <w:spacing w:before="0" w:after="200" w:line="276"/>
              <w:ind w:right="0" w:left="0" w:firstLine="0"/>
              <w:jc w:val="left"/>
              <w:rPr>
                <w:rFonts w:ascii="Calibri,Bold" w:hAnsi="Calibri,Bold" w:cs="Calibri,Bold" w:eastAsia="Calibri,Bold"/>
                <w:color w:val="auto"/>
                <w:spacing w:val="0"/>
                <w:position w:val="0"/>
                <w:sz w:val="24"/>
                <w:shd w:fill="auto" w:val="clear"/>
              </w:rPr>
            </w:pPr>
          </w:p>
          <w:p>
            <w:pPr>
              <w:spacing w:before="0" w:after="0" w:line="240"/>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b/>
                <w:color w:val="auto"/>
                <w:spacing w:val="0"/>
                <w:position w:val="0"/>
                <w:sz w:val="28"/>
                <w:shd w:fill="auto" w:val="clear"/>
              </w:rPr>
              <w:t xml:space="preserve">1.  </w:t>
            </w:r>
            <w:r>
              <w:rPr>
                <w:rFonts w:ascii="Calibri" w:hAnsi="Calibri" w:cs="Calibri" w:eastAsia="Calibri"/>
                <w:color w:val="auto"/>
                <w:spacing w:val="0"/>
                <w:position w:val="0"/>
                <w:sz w:val="28"/>
                <w:shd w:fill="auto" w:val="clear"/>
              </w:rPr>
              <w:t xml:space="preserve">Explain the various methods of appraising capital projects, including their relative merits and demerits.</w:t>
            </w:r>
          </w:p>
          <w:p>
            <w:pPr>
              <w:spacing w:before="0" w:after="0" w:line="240"/>
              <w:ind w:right="0" w:left="0" w:firstLine="0"/>
              <w:jc w:val="left"/>
              <w:rPr>
                <w:rFonts w:ascii="Calibri" w:hAnsi="Calibri" w:cs="Calibri" w:eastAsia="Calibri"/>
                <w:color w:val="auto"/>
                <w:spacing w:val="0"/>
                <w:position w:val="0"/>
                <w:sz w:val="28"/>
                <w:shd w:fill="auto" w:val="clear"/>
              </w:rPr>
            </w:pP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8"/>
                <w:shd w:fill="auto" w:val="clear"/>
              </w:rPr>
              <w:t xml:space="preserve">  </w:t>
            </w:r>
            <w:r>
              <w:rPr>
                <w:rFonts w:ascii="Calibri" w:hAnsi="Calibri" w:cs="Calibri" w:eastAsia="Calibri"/>
                <w:color w:val="auto"/>
                <w:spacing w:val="0"/>
                <w:position w:val="0"/>
                <w:sz w:val="24"/>
                <w:shd w:fill="auto" w:val="clear"/>
              </w:rPr>
              <w:t xml:space="preserve">Project appraisal methodologies are methods used to access a proposed project's potential success and viability. These methods check the appropriateness of a project considering things such as available funds and the economic climate. A good project will service debt and maximize shareholders' wealth. A company may decide to invest in a long-term project if the future return is likely to be achieved. Financial managers will make estimations/projections and use techniques to identify whether the investment is appropriate. Investment appraisal is crucial to a business due to:</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1. Large sums are necessary to invest in projects and therefore care needs to be taken with the decisions, as they are difficult to reverse.</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2. It is difficult to estimate the potential future return of long-term investment so investment appraisal techniques need to be used to assess the risk and uncertainty of projects.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    Investment proposals are evaluated by following methods: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auto"/>
                <w:spacing w:val="0"/>
                <w:position w:val="0"/>
                <w:sz w:val="24"/>
                <w:shd w:fill="auto" w:val="clear"/>
              </w:rPr>
              <w:t xml:space="preserve"> </w:t>
            </w:r>
            <w:r>
              <w:rPr>
                <w:rFonts w:ascii="Calibri,Bold" w:hAnsi="Calibri,Bold" w:cs="Calibri,Bold" w:eastAsia="Calibri,Bold"/>
                <w:color w:val="auto"/>
                <w:spacing w:val="0"/>
                <w:position w:val="0"/>
                <w:sz w:val="24"/>
                <w:shd w:fill="auto" w:val="clear"/>
              </w:rPr>
              <w:t xml:space="preserve">- </w:t>
            </w:r>
            <w:r>
              <w:rPr>
                <w:rFonts w:ascii="Calibri" w:hAnsi="Calibri" w:cs="Calibri" w:eastAsia="Calibri"/>
                <w:color w:val="000000"/>
                <w:spacing w:val="0"/>
                <w:position w:val="0"/>
                <w:sz w:val="24"/>
                <w:shd w:fill="auto" w:val="clear"/>
              </w:rPr>
              <w:t xml:space="preserve">Pay Back Period;</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color w:val="auto"/>
                <w:spacing w:val="0"/>
                <w:position w:val="0"/>
                <w:sz w:val="24"/>
                <w:shd w:fill="auto" w:val="clear"/>
              </w:rPr>
              <w:t xml:space="preserve">- </w:t>
            </w:r>
            <w:r>
              <w:rPr>
                <w:rFonts w:ascii="Calibri,Bold" w:hAnsi="Calibri,Bold" w:cs="Calibri,Bold" w:eastAsia="Calibri,Bold"/>
                <w:b/>
                <w:color w:val="EE7D31"/>
                <w:spacing w:val="0"/>
                <w:position w:val="0"/>
                <w:sz w:val="24"/>
                <w:shd w:fill="auto" w:val="clear"/>
              </w:rPr>
              <w:t xml:space="preserve"> </w:t>
            </w:r>
            <w:r>
              <w:rPr>
                <w:rFonts w:ascii="Calibri" w:hAnsi="Calibri" w:cs="Calibri" w:eastAsia="Calibri"/>
                <w:color w:val="000000"/>
                <w:spacing w:val="0"/>
                <w:position w:val="0"/>
                <w:sz w:val="24"/>
                <w:shd w:fill="auto" w:val="clear"/>
              </w:rPr>
              <w:t xml:space="preserve">Accounting Rate of Return;</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color w:val="auto"/>
                <w:spacing w:val="0"/>
                <w:position w:val="0"/>
                <w:sz w:val="24"/>
                <w:shd w:fill="auto" w:val="clear"/>
              </w:rPr>
              <w:t xml:space="preserve">-</w:t>
            </w:r>
            <w:r>
              <w:rPr>
                <w:rFonts w:ascii="Calibri,Bold" w:hAnsi="Calibri,Bold" w:cs="Calibri,Bold" w:eastAsia="Calibri,Bold"/>
                <w:b/>
                <w:color w:val="EE7D31"/>
                <w:spacing w:val="0"/>
                <w:position w:val="0"/>
                <w:sz w:val="24"/>
                <w:shd w:fill="auto" w:val="clear"/>
              </w:rPr>
              <w:t xml:space="preserve"> </w:t>
            </w:r>
            <w:r>
              <w:rPr>
                <w:rFonts w:ascii="Calibri" w:hAnsi="Calibri" w:cs="Calibri" w:eastAsia="Calibri"/>
                <w:color w:val="000000"/>
                <w:spacing w:val="0"/>
                <w:position w:val="0"/>
                <w:sz w:val="24"/>
                <w:shd w:fill="auto" w:val="clear"/>
              </w:rPr>
              <w:t xml:space="preserve">Discounted Cash Flow;</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 </w:t>
            </w:r>
            <w:r>
              <w:rPr>
                <w:rFonts w:ascii="Calibri" w:hAnsi="Calibri" w:cs="Calibri" w:eastAsia="Calibri"/>
                <w:b/>
                <w:color w:val="EE7D31"/>
                <w:spacing w:val="0"/>
                <w:position w:val="0"/>
                <w:sz w:val="24"/>
                <w:shd w:fill="auto" w:val="clear"/>
              </w:rPr>
              <w:t xml:space="preserve"> </w:t>
            </w:r>
            <w:r>
              <w:rPr>
                <w:rFonts w:ascii="Calibri" w:hAnsi="Calibri" w:cs="Calibri" w:eastAsia="Calibri"/>
                <w:color w:val="000000"/>
                <w:spacing w:val="0"/>
                <w:position w:val="0"/>
                <w:sz w:val="24"/>
                <w:shd w:fill="auto" w:val="clear"/>
              </w:rPr>
              <w:t xml:space="preserve">Net Present Value;</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 Internal Rate of Return; and</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 Profitability Index.</w:t>
            </w:r>
          </w:p>
          <w:p>
            <w:pPr>
              <w:spacing w:before="0" w:after="0" w:line="240"/>
              <w:ind w:right="0" w:left="0" w:firstLine="0"/>
              <w:jc w:val="left"/>
              <w:rPr>
                <w:rFonts w:ascii="Calibri" w:hAnsi="Calibri" w:cs="Calibri" w:eastAsia="Calibri"/>
                <w:color w:val="000000"/>
                <w:spacing w:val="0"/>
                <w:position w:val="0"/>
                <w:sz w:val="24"/>
                <w:shd w:fill="auto" w:val="clear"/>
              </w:rPr>
            </w:pP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b/>
                <w:color w:val="000000"/>
                <w:spacing w:val="0"/>
                <w:position w:val="0"/>
                <w:sz w:val="24"/>
                <w:shd w:fill="auto" w:val="clear"/>
              </w:rPr>
              <w:t xml:space="preserve"> Payback period</w:t>
            </w:r>
            <w:r>
              <w:rPr>
                <w:rFonts w:ascii="Calibri" w:hAnsi="Calibri" w:cs="Calibri" w:eastAsia="Calibri"/>
                <w:color w:val="000000"/>
                <w:spacing w:val="0"/>
                <w:position w:val="0"/>
                <w:sz w:val="24"/>
                <w:shd w:fill="auto" w:val="clear"/>
              </w:rPr>
              <w:t xml:space="preserve">:</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     The payback (or payout) period is one of the most popular and widely recognized traditional methods of evaluating investment proposals, it is defined as the number of years required to recover the original cash outlay invested in a project, if the project generates constant annual cash inflows, the payback period can be computed dividing cash outlay by the annual cash inflow. </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 </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Advantages: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  A company can have more favourable short-run effects on earnings per share by setting up a shorter payback period.</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 The riskiness of the project can be tackled by having a shorter payback period as it may ensure guarantee against loss.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 As the emphasis in pay back is on the early recovery of investment, it gives an insight to the liquidity of the project.</w:t>
            </w:r>
          </w:p>
          <w:p>
            <w:pPr>
              <w:spacing w:before="0" w:after="0" w:line="240"/>
              <w:ind w:right="0" w:left="0" w:firstLine="0"/>
              <w:jc w:val="left"/>
              <w:rPr>
                <w:rFonts w:ascii="Calibri" w:hAnsi="Calibri" w:cs="Calibri" w:eastAsia="Calibri"/>
                <w:color w:val="000000"/>
                <w:spacing w:val="0"/>
                <w:position w:val="0"/>
                <w:sz w:val="24"/>
                <w:shd w:fill="auto" w:val="clear"/>
              </w:rPr>
            </w:pP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Limitations: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  It fails to take account of the cash inflows earned after the payback period.</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 It is not an appropriate method of measuring the profitability of an investment project, as it does not consider the entire cash inflows yielded by the project.</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 It fails to consider the pattern of cash inflows, i.e., magnitude and timing of cash inflows.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 Administrative difficulties may be faced in determining the maximum acceptable payback period. </w:t>
            </w:r>
          </w:p>
          <w:p>
            <w:pPr>
              <w:spacing w:before="0" w:after="0" w:line="240"/>
              <w:ind w:right="0" w:left="0" w:firstLine="0"/>
              <w:jc w:val="left"/>
              <w:rPr>
                <w:rFonts w:ascii="Calibri" w:hAnsi="Calibri" w:cs="Calibri" w:eastAsia="Calibri"/>
                <w:color w:val="000000"/>
                <w:spacing w:val="0"/>
                <w:position w:val="0"/>
                <w:sz w:val="24"/>
                <w:shd w:fill="auto" w:val="clear"/>
              </w:rPr>
            </w:pP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b/>
                <w:color w:val="000000"/>
                <w:spacing w:val="0"/>
                <w:position w:val="0"/>
                <w:sz w:val="24"/>
                <w:shd w:fill="auto" w:val="clear"/>
              </w:rPr>
              <w:t xml:space="preserve">Accounting Rate of Return method:</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     The Accounting rate of return (ARR) method uses accounting information, as revealed by financial statements, to measure the profit abilities of the investment proposals. The accounting rate of return is found out by dividing the average income after taxes by the average investment. </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  Advantages: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  It is very simple to understand and use.</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 It can be readily calculated using the accounting data.</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 It uses the entire stream of incomes in calculating the accounting rate.</w:t>
            </w:r>
          </w:p>
          <w:p>
            <w:pPr>
              <w:spacing w:before="0" w:after="0" w:line="240"/>
              <w:ind w:right="0" w:left="0" w:firstLine="0"/>
              <w:jc w:val="left"/>
              <w:rPr>
                <w:rFonts w:ascii="Calibri" w:hAnsi="Calibri" w:cs="Calibri" w:eastAsia="Calibri"/>
                <w:color w:val="000000"/>
                <w:spacing w:val="0"/>
                <w:position w:val="0"/>
                <w:sz w:val="24"/>
                <w:shd w:fill="auto" w:val="clear"/>
              </w:rPr>
            </w:pP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Limitations: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  It uses accounting, profits, not cash flows in appraising the projects.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 It ignores the time value of money; profits occurring in different periods are valued equally.</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 It does not consider the lengths of projects lives.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 It does not allow for the fact that the profit can be reinvested. </w:t>
            </w:r>
          </w:p>
          <w:p>
            <w:pPr>
              <w:spacing w:before="0" w:after="0" w:line="240"/>
              <w:ind w:right="0" w:left="0" w:firstLine="0"/>
              <w:jc w:val="left"/>
              <w:rPr>
                <w:rFonts w:ascii="Calibri" w:hAnsi="Calibri" w:cs="Calibri" w:eastAsia="Calibri"/>
                <w:color w:val="000000"/>
                <w:spacing w:val="0"/>
                <w:position w:val="0"/>
                <w:sz w:val="24"/>
                <w:shd w:fill="auto" w:val="clear"/>
              </w:rPr>
            </w:pPr>
          </w:p>
          <w:p>
            <w:pPr>
              <w:spacing w:before="0" w:after="0" w:line="240"/>
              <w:ind w:right="0" w:left="0" w:firstLine="0"/>
              <w:jc w:val="left"/>
              <w:rPr>
                <w:rFonts w:ascii="Calibri,Bold" w:hAnsi="Calibri,Bold" w:cs="Calibri,Bold" w:eastAsia="Calibri,Bold"/>
                <w:b/>
                <w:color w:val="000000"/>
                <w:spacing w:val="0"/>
                <w:position w:val="0"/>
                <w:sz w:val="24"/>
                <w:shd w:fill="auto" w:val="clear"/>
              </w:rPr>
            </w:pPr>
            <w:r>
              <w:rPr>
                <w:rFonts w:ascii="Calibri,Bold" w:hAnsi="Calibri,Bold" w:cs="Calibri,Bold" w:eastAsia="Calibri,Bold"/>
                <w:b/>
                <w:color w:val="000000"/>
                <w:spacing w:val="0"/>
                <w:position w:val="0"/>
                <w:sz w:val="24"/>
                <w:shd w:fill="auto" w:val="clear"/>
              </w:rPr>
              <w:t xml:space="preserve">Discounted Cash Flow (DCF)</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The Discounted Cash Flow concept is based on the factor that is ignored by methods discussed previously i.e. time value of money. According to this concept, an investment yields returns that are spread over a few years and the real value of £1 today is more than its value a year from now. Therefore, the future returns on investment should be discounted in order to reflect the real current cash outflow associated with the investment. There are two methods of investment appraisal that incorporate this concept:</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auto"/>
                <w:spacing w:val="0"/>
                <w:position w:val="0"/>
                <w:sz w:val="24"/>
                <w:shd w:fill="auto" w:val="clear"/>
              </w:rPr>
              <w:t xml:space="preserve">I. </w:t>
            </w:r>
            <w:r>
              <w:rPr>
                <w:rFonts w:ascii="Calibri" w:hAnsi="Calibri" w:cs="Calibri" w:eastAsia="Calibri"/>
                <w:color w:val="000000"/>
                <w:spacing w:val="0"/>
                <w:position w:val="0"/>
                <w:sz w:val="24"/>
                <w:shd w:fill="auto" w:val="clear"/>
              </w:rPr>
              <w:t xml:space="preserve">Net Present Value (NPV)</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auto"/>
                <w:spacing w:val="0"/>
                <w:position w:val="0"/>
                <w:sz w:val="24"/>
                <w:shd w:fill="auto" w:val="clear"/>
              </w:rPr>
              <w:t xml:space="preserve">II. </w:t>
            </w:r>
            <w:r>
              <w:rPr>
                <w:rFonts w:ascii="Calibri" w:hAnsi="Calibri" w:cs="Calibri" w:eastAsia="Calibri"/>
                <w:color w:val="000000"/>
                <w:spacing w:val="0"/>
                <w:position w:val="0"/>
                <w:sz w:val="24"/>
                <w:shd w:fill="auto" w:val="clear"/>
              </w:rPr>
              <w:t xml:space="preserve">Internal Rate of Return (IRR) </w:t>
            </w:r>
          </w:p>
          <w:p>
            <w:pPr>
              <w:spacing w:before="0" w:after="0" w:line="240"/>
              <w:ind w:right="0" w:left="0" w:firstLine="0"/>
              <w:jc w:val="left"/>
              <w:rPr>
                <w:rFonts w:ascii="Calibri" w:hAnsi="Calibri" w:cs="Calibri" w:eastAsia="Calibri"/>
                <w:color w:val="000000"/>
                <w:spacing w:val="0"/>
                <w:position w:val="0"/>
                <w:sz w:val="24"/>
                <w:shd w:fill="auto" w:val="clear"/>
              </w:rPr>
            </w:pP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b/>
                <w:color w:val="000000"/>
                <w:spacing w:val="0"/>
                <w:position w:val="0"/>
                <w:sz w:val="24"/>
                <w:shd w:fill="auto" w:val="clear"/>
              </w:rPr>
              <w:t xml:space="preserve">Net present value method:</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    The net present value (NPV) method is a process of calculating the present value of cash flows (inflows and outflows) of an investment proposal, using the cost of capital as the appropriate discounting rate, and finding out the net profit value, by subtracting the present value of cash outflows from the present value of cash inflows. </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The equation for the net present value, assuming that all cash outflows are made in the initial year (tg), will be:</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    The equation for the net present value, assuming that all cash outflows are made in the initial year (tg), will be:</w:t>
            </w:r>
          </w:p>
          <w:p>
            <w:pPr>
              <w:spacing w:before="0" w:after="0" w:line="240"/>
              <w:ind w:right="0" w:left="0" w:firstLine="0"/>
              <w:jc w:val="left"/>
              <w:rPr>
                <w:rFonts w:ascii="Calibri" w:hAnsi="Calibri" w:cs="Calibri" w:eastAsia="Calibri"/>
                <w:color w:val="000000"/>
                <w:spacing w:val="0"/>
                <w:position w:val="0"/>
                <w:sz w:val="24"/>
                <w:shd w:fill="auto" w:val="clear"/>
              </w:rPr>
            </w:pPr>
          </w:p>
          <w:p>
            <w:pPr>
              <w:spacing w:before="0" w:after="0" w:line="240"/>
              <w:ind w:right="0" w:left="0" w:firstLine="0"/>
              <w:jc w:val="left"/>
              <w:rPr>
                <w:rFonts w:ascii="Calibri" w:hAnsi="Calibri" w:cs="Calibri" w:eastAsia="Calibri"/>
                <w:color w:val="000000"/>
                <w:spacing w:val="0"/>
                <w:position w:val="0"/>
                <w:sz w:val="24"/>
                <w:shd w:fill="auto" w:val="clear"/>
              </w:rPr>
            </w:pPr>
            <w:r>
              <w:object w:dxaOrig="6480" w:dyaOrig="2264">
                <v:rect xmlns:o="urn:schemas-microsoft-com:office:office" xmlns:v="urn:schemas-microsoft-com:vml" id="rectole0000000001" style="width:324.000000pt;height:113.20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Metafile" DrawAspect="Content" ObjectID="0000000001" ShapeID="rectole0000000001" r:id="docRId2"/>
              </w:objec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Where A1, A2…. represent cash inflows, K is the firm’s cost of capital, C is the cost of the investment proposal and n is the expected life of the proposal. It should be noted that the cost of capital, K, is assumed to be known, otherwise the net present, value cannot be known. </w:t>
            </w:r>
          </w:p>
          <w:p>
            <w:pPr>
              <w:spacing w:before="0" w:after="0" w:line="240"/>
              <w:ind w:right="0" w:left="0" w:firstLine="0"/>
              <w:jc w:val="left"/>
              <w:rPr>
                <w:rFonts w:ascii="Calibri" w:hAnsi="Calibri" w:cs="Calibri" w:eastAsia="Calibri"/>
                <w:color w:val="000000"/>
                <w:spacing w:val="0"/>
                <w:position w:val="0"/>
                <w:sz w:val="24"/>
                <w:shd w:fill="auto" w:val="clear"/>
              </w:rPr>
            </w:pP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  A few advantages of using the NPV method are as follows: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 it considers the time value of money;</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 it recognizes the project’s benefits over the entire span of its life;</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 it is useful when the firm is appraising mutually exclusive projects;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 </w:t>
            </w:r>
            <w:r>
              <w:rPr>
                <w:rFonts w:ascii="Calibri,Bold" w:hAnsi="Calibri,Bold" w:cs="Calibri,Bold" w:eastAsia="Calibri,Bold"/>
                <w:b/>
                <w:color w:val="EE7D31"/>
                <w:spacing w:val="0"/>
                <w:position w:val="0"/>
                <w:sz w:val="24"/>
                <w:shd w:fill="auto" w:val="clear"/>
              </w:rPr>
              <w:t xml:space="preserve"> </w:t>
            </w:r>
            <w:r>
              <w:rPr>
                <w:rFonts w:ascii="Calibri" w:hAnsi="Calibri" w:cs="Calibri" w:eastAsia="Calibri"/>
                <w:color w:val="000000"/>
                <w:spacing w:val="0"/>
                <w:position w:val="0"/>
                <w:sz w:val="24"/>
                <w:shd w:fill="auto" w:val="clear"/>
              </w:rPr>
              <w:t xml:space="preserve">it focuses on financial management’s objective of maximising the shareholders’ wealth; </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 </w:t>
            </w:r>
            <w:r>
              <w:rPr>
                <w:rFonts w:ascii="Calibri,Bold" w:hAnsi="Calibri,Bold" w:cs="Calibri,Bold" w:eastAsia="Calibri,Bold"/>
                <w:b/>
                <w:color w:val="EE7D31"/>
                <w:spacing w:val="0"/>
                <w:position w:val="0"/>
                <w:sz w:val="24"/>
                <w:shd w:fill="auto" w:val="clear"/>
              </w:rPr>
              <w:t xml:space="preserve"> </w:t>
            </w:r>
            <w:r>
              <w:rPr>
                <w:rFonts w:ascii="Calibri" w:hAnsi="Calibri" w:cs="Calibri" w:eastAsia="Calibri"/>
                <w:color w:val="000000"/>
                <w:spacing w:val="0"/>
                <w:position w:val="0"/>
                <w:sz w:val="24"/>
                <w:shd w:fill="auto" w:val="clear"/>
              </w:rPr>
              <w:t xml:space="preserve">Proposals, with a positive NPV, are selected leading to a positive effect on the market prices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of the firm’s shares.</w:t>
            </w:r>
          </w:p>
          <w:p>
            <w:pPr>
              <w:spacing w:before="0" w:after="0" w:line="240"/>
              <w:ind w:right="0" w:left="0" w:firstLine="0"/>
              <w:jc w:val="left"/>
              <w:rPr>
                <w:rFonts w:ascii="Calibri" w:hAnsi="Calibri" w:cs="Calibri" w:eastAsia="Calibri"/>
                <w:color w:val="000000"/>
                <w:spacing w:val="0"/>
                <w:position w:val="0"/>
                <w:sz w:val="24"/>
                <w:shd w:fill="auto" w:val="clear"/>
              </w:rPr>
            </w:pP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  Some of its drawbacks include:</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 it is difficult to calculate (unlike ARR and PBP);</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 </w:t>
            </w:r>
            <w:r>
              <w:rPr>
                <w:rFonts w:ascii="Calibri,Bold" w:hAnsi="Calibri,Bold" w:cs="Calibri,Bold" w:eastAsia="Calibri,Bold"/>
                <w:b/>
                <w:color w:val="EE7D31"/>
                <w:spacing w:val="0"/>
                <w:position w:val="0"/>
                <w:sz w:val="24"/>
                <w:shd w:fill="auto" w:val="clear"/>
              </w:rPr>
              <w:t xml:space="preserve"> </w:t>
            </w:r>
            <w:r>
              <w:rPr>
                <w:rFonts w:ascii="Calibri" w:hAnsi="Calibri" w:cs="Calibri" w:eastAsia="Calibri"/>
                <w:color w:val="000000"/>
                <w:spacing w:val="0"/>
                <w:position w:val="0"/>
                <w:sz w:val="24"/>
                <w:shd w:fill="auto" w:val="clear"/>
              </w:rPr>
              <w:t xml:space="preserve">it is difficult to decide which discounting rate should be used when calculating present values;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 a change in the discounting rate may affect the desirability of the project;</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 The NPV is an absolute measure which may not give reliable results for projects involving different capital outlays; </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 The reliability of results produced by the NPV method may be affected when the proposals being appraised have different expected lives.</w:t>
            </w:r>
          </w:p>
          <w:p>
            <w:pPr>
              <w:spacing w:before="0" w:after="0" w:line="240"/>
              <w:ind w:right="0" w:left="0" w:firstLine="0"/>
              <w:jc w:val="left"/>
              <w:rPr>
                <w:rFonts w:ascii="Calibri" w:hAnsi="Calibri" w:cs="Calibri" w:eastAsia="Calibri"/>
                <w:color w:val="000000"/>
                <w:spacing w:val="0"/>
                <w:position w:val="0"/>
                <w:sz w:val="24"/>
                <w:shd w:fill="auto" w:val="clear"/>
              </w:rPr>
            </w:pPr>
          </w:p>
          <w:p>
            <w:pPr>
              <w:spacing w:before="0" w:after="0" w:line="240"/>
              <w:ind w:right="0" w:left="0" w:firstLine="0"/>
              <w:jc w:val="left"/>
              <w:rPr>
                <w:rFonts w:ascii="Calibri,Bold" w:hAnsi="Calibri,Bold" w:cs="Calibri,Bold" w:eastAsia="Calibri,Bold"/>
                <w:b/>
                <w:color w:val="auto"/>
                <w:spacing w:val="0"/>
                <w:position w:val="0"/>
                <w:sz w:val="24"/>
                <w:shd w:fill="auto" w:val="clear"/>
              </w:rPr>
            </w:pPr>
            <w:r>
              <w:rPr>
                <w:rFonts w:ascii="Calibri" w:hAnsi="Calibri" w:cs="Calibri" w:eastAsia="Calibri"/>
                <w:color w:val="000000"/>
                <w:spacing w:val="0"/>
                <w:position w:val="0"/>
                <w:sz w:val="24"/>
                <w:shd w:fill="auto" w:val="clear"/>
              </w:rPr>
              <w:t xml:space="preserve"> </w:t>
            </w:r>
            <w:r>
              <w:rPr>
                <w:rFonts w:ascii="Calibri,Bold" w:hAnsi="Calibri,Bold" w:cs="Calibri,Bold" w:eastAsia="Calibri,Bold"/>
                <w:b/>
                <w:color w:val="auto"/>
                <w:spacing w:val="0"/>
                <w:position w:val="0"/>
                <w:sz w:val="24"/>
                <w:shd w:fill="auto" w:val="clear"/>
              </w:rPr>
              <w:t xml:space="preserve">Internal Rate of Return</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It has already been established that discounted cash flow techniques are superior to the Payback Period and ARR methods, due to the fact that they are based on time value of money. Internal Rate of Return (IRR) is another discounted cash flow method used to appraise investments. It is called internal rate because it depends solely on the outlay and proceeds associated with the project and not any rate determined outside the investment, it can be determined by solving the following equation: </w:t>
            </w:r>
          </w:p>
          <w:p>
            <w:pPr>
              <w:spacing w:before="0" w:after="0" w:line="240"/>
              <w:ind w:right="0" w:left="0" w:firstLine="0"/>
              <w:jc w:val="left"/>
              <w:rPr>
                <w:rFonts w:ascii="Calibri" w:hAnsi="Calibri" w:cs="Calibri" w:eastAsia="Calibri"/>
                <w:color w:val="auto"/>
                <w:spacing w:val="0"/>
                <w:position w:val="0"/>
                <w:sz w:val="24"/>
                <w:shd w:fill="auto" w:val="clear"/>
              </w:rPr>
            </w:pPr>
            <w:r>
              <w:object w:dxaOrig="5760" w:dyaOrig="2355">
                <v:rect xmlns:o="urn:schemas-microsoft-com:office:office" xmlns:v="urn:schemas-microsoft-com:vml" id="rectole0000000002" style="width:288.000000pt;height:117.750000pt" o:preferrelative="t" o:ole="">
                  <o:lock v:ext="edit"/>
                  <v:imagedata xmlns:r="http://schemas.openxmlformats.org/officeDocument/2006/relationships" r:id="docRId5" o:title=""/>
                </v:rect>
                <o:OLEObject xmlns:r="http://schemas.openxmlformats.org/officeDocument/2006/relationships" xmlns:o="urn:schemas-microsoft-com:office:office" Type="Embed" ProgID="StaticMetafile" DrawAspect="Content" ObjectID="0000000002" ShapeID="rectole0000000002" r:id="docRId4"/>
              </w:object>
            </w:r>
          </w:p>
          <w:p>
            <w:pPr>
              <w:spacing w:before="0" w:after="0" w:line="240"/>
              <w:ind w:right="0" w:left="0" w:firstLine="0"/>
              <w:jc w:val="left"/>
              <w:rPr>
                <w:rFonts w:ascii="Calibri" w:hAnsi="Calibri" w:cs="Calibri" w:eastAsia="Calibri"/>
                <w:color w:val="000000"/>
                <w:spacing w:val="0"/>
                <w:position w:val="0"/>
                <w:sz w:val="24"/>
                <w:shd w:fill="auto" w:val="clear"/>
              </w:rPr>
            </w:pP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Advantages: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1. Like the NPV method, it considers the time value of money.</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2. It considers cash flows over the entire life of the project.</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3. It satisfies the users in terms of the rate of return on capital.</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4. Unlike the NPV method, the calculation of the cost of capital is not a precondition.</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5. It is compatible with the firm’s maximising owners’ welfare.</w:t>
            </w:r>
          </w:p>
          <w:p>
            <w:pPr>
              <w:spacing w:before="0" w:after="0" w:line="240"/>
              <w:ind w:right="0" w:left="0" w:firstLine="0"/>
              <w:jc w:val="left"/>
              <w:rPr>
                <w:rFonts w:ascii="Calibri" w:hAnsi="Calibri" w:cs="Calibri" w:eastAsia="Calibri"/>
                <w:color w:val="000000"/>
                <w:spacing w:val="0"/>
                <w:position w:val="0"/>
                <w:sz w:val="24"/>
                <w:shd w:fill="auto" w:val="clear"/>
              </w:rPr>
            </w:pP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Limitations: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1. It involves complicated computation problems.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2. It may not give unique answer in all situations. It may yield negative rate or multiple rates under certain circumstances.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3. It implies that the intermediate cash inflows generated by the project are reinvested at the internal rate unlike at the firm’s cost of capital under NPV method. The latter assumption seems to be more appropriate. </w:t>
            </w:r>
          </w:p>
          <w:p>
            <w:pPr>
              <w:spacing w:before="0" w:after="0" w:line="240"/>
              <w:ind w:right="0" w:left="0" w:firstLine="0"/>
              <w:jc w:val="left"/>
              <w:rPr>
                <w:rFonts w:ascii="Calibri" w:hAnsi="Calibri" w:cs="Calibri" w:eastAsia="Calibri"/>
                <w:color w:val="000000"/>
                <w:spacing w:val="0"/>
                <w:position w:val="0"/>
                <w:sz w:val="24"/>
                <w:shd w:fill="auto" w:val="clear"/>
              </w:rPr>
            </w:pP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b/>
                <w:color w:val="000000"/>
                <w:spacing w:val="0"/>
                <w:position w:val="0"/>
                <w:sz w:val="24"/>
                <w:shd w:fill="auto" w:val="clear"/>
              </w:rPr>
              <w:t xml:space="preserve">Profitability index:</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 It is the ratio of the present value of future cash benefits, at the required rate of return to the initial cash outflow of the investment. It may be gross or net, net being simply gross minus one. </w:t>
            </w:r>
            <w:r>
              <w:rPr>
                <w:rFonts w:ascii="Calibri" w:hAnsi="Calibri" w:cs="Calibri" w:eastAsia="Calibri"/>
                <w:color w:val="auto"/>
                <w:spacing w:val="0"/>
                <w:position w:val="0"/>
                <w:sz w:val="24"/>
                <w:shd w:fill="auto" w:val="clear"/>
              </w:rPr>
              <w:t xml:space="preserve">Sometimes an investment proposal is rejected because it has a lower IRR as compared to the other proposal, but the proposal with a lower IRR may be more profitable in reality when the NPV is calculated using the target discount rate.</w:t>
            </w:r>
            <w:r>
              <w:rPr>
                <w:rFonts w:ascii="Calibri" w:hAnsi="Calibri" w:cs="Calibri" w:eastAsia="Calibri"/>
                <w:color w:val="000000"/>
                <w:spacing w:val="0"/>
                <w:position w:val="0"/>
                <w:sz w:val="24"/>
                <w:shd w:fill="auto" w:val="clear"/>
              </w:rPr>
              <w:t xml:space="preserve"> The formula to calculate profitability index (PI) or benefit cost (BC) ratio is as follows. </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PI = PV cash inflows/Initial cash outlay A,</w:t>
            </w:r>
          </w:p>
          <w:p>
            <w:pPr>
              <w:spacing w:before="0" w:after="0" w:line="240"/>
              <w:ind w:right="0" w:left="0" w:firstLine="0"/>
              <w:jc w:val="left"/>
              <w:rPr>
                <w:rFonts w:ascii="Calibri" w:hAnsi="Calibri" w:cs="Calibri" w:eastAsia="Calibri"/>
                <w:color w:val="000000"/>
                <w:spacing w:val="0"/>
                <w:position w:val="0"/>
                <w:sz w:val="24"/>
                <w:shd w:fill="auto" w:val="clear"/>
              </w:rPr>
            </w:pPr>
          </w:p>
          <w:p>
            <w:pPr>
              <w:spacing w:before="0" w:after="0" w:line="240"/>
              <w:ind w:right="0" w:left="0" w:firstLine="0"/>
              <w:jc w:val="left"/>
              <w:rPr>
                <w:rFonts w:ascii="Calibri" w:hAnsi="Calibri" w:cs="Calibri" w:eastAsia="Calibri"/>
                <w:color w:val="000000"/>
                <w:spacing w:val="0"/>
                <w:position w:val="0"/>
                <w:sz w:val="24"/>
                <w:shd w:fill="auto" w:val="clear"/>
              </w:rPr>
            </w:pPr>
            <w:r>
              <w:object w:dxaOrig="2580" w:dyaOrig="1019">
                <v:rect xmlns:o="urn:schemas-microsoft-com:office:office" xmlns:v="urn:schemas-microsoft-com:vml" id="rectole0000000003" style="width:129.000000pt;height:50.950000pt" o:preferrelative="t" o:ole="">
                  <o:lock v:ext="edit"/>
                  <v:imagedata xmlns:r="http://schemas.openxmlformats.org/officeDocument/2006/relationships" r:id="docRId7" o:title=""/>
                </v:rect>
                <o:OLEObject xmlns:r="http://schemas.openxmlformats.org/officeDocument/2006/relationships" xmlns:o="urn:schemas-microsoft-com:office:office" Type="Embed" ProgID="StaticMetafile" DrawAspect="Content" ObjectID="0000000003" ShapeID="rectole0000000003" r:id="docRId6"/>
              </w:object>
            </w:r>
          </w:p>
          <w:p>
            <w:pPr>
              <w:spacing w:before="0" w:after="0" w:line="240"/>
              <w:ind w:right="0" w:left="0" w:firstLine="0"/>
              <w:jc w:val="left"/>
              <w:rPr>
                <w:rFonts w:ascii="Calibri" w:hAnsi="Calibri" w:cs="Calibri" w:eastAsia="Calibri"/>
                <w:color w:val="000000"/>
                <w:spacing w:val="0"/>
                <w:position w:val="0"/>
                <w:sz w:val="24"/>
                <w:shd w:fill="auto" w:val="clear"/>
              </w:rPr>
            </w:pPr>
          </w:p>
          <w:p>
            <w:pPr>
              <w:spacing w:before="0" w:after="0" w:line="240"/>
              <w:ind w:right="0" w:left="0" w:firstLine="0"/>
              <w:jc w:val="left"/>
              <w:rPr>
                <w:rFonts w:ascii="Calibri" w:hAnsi="Calibri" w:cs="Calibri" w:eastAsia="Calibri"/>
                <w:color w:val="000000"/>
                <w:spacing w:val="0"/>
                <w:position w:val="0"/>
                <w:sz w:val="24"/>
                <w:shd w:fill="auto" w:val="clear"/>
              </w:rPr>
            </w:pP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1. It gives due consideration to the time value of money.</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2. It requires more computation than the traditional method but less than the IRR method.</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3. It can also be used to choose between mutually exclusive projects by calculating the incremental benefit cost ratio.</w:t>
            </w:r>
          </w:p>
          <w:p>
            <w:pPr>
              <w:spacing w:before="0" w:after="0" w:line="240"/>
              <w:ind w:right="0" w:left="0" w:firstLine="0"/>
              <w:jc w:val="left"/>
              <w:rPr>
                <w:rFonts w:ascii="Calibri" w:hAnsi="Calibri" w:cs="Calibri" w:eastAsia="Calibri"/>
                <w:color w:val="000000"/>
                <w:spacing w:val="0"/>
                <w:position w:val="0"/>
                <w:sz w:val="24"/>
                <w:shd w:fill="auto" w:val="clear"/>
              </w:rPr>
            </w:pPr>
          </w:p>
          <w:p>
            <w:pPr>
              <w:spacing w:before="0" w:after="0" w:line="240"/>
              <w:ind w:right="0" w:left="0" w:firstLine="0"/>
              <w:jc w:val="left"/>
              <w:rPr>
                <w:rFonts w:ascii="Calibri" w:hAnsi="Calibri" w:cs="Calibri" w:eastAsia="Calibri"/>
                <w:color w:val="000000"/>
                <w:spacing w:val="0"/>
                <w:position w:val="0"/>
                <w:sz w:val="24"/>
                <w:shd w:fill="auto" w:val="clear"/>
              </w:rPr>
            </w:pP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auto"/>
                <w:spacing w:val="0"/>
                <w:position w:val="0"/>
                <w:sz w:val="24"/>
                <w:shd w:fill="auto" w:val="clear"/>
              </w:rPr>
              <w:t xml:space="preserve">       2. </w:t>
            </w:r>
            <w:r>
              <w:rPr>
                <w:rFonts w:ascii="Calibri" w:hAnsi="Calibri" w:cs="Calibri" w:eastAsia="Calibri"/>
                <w:color w:val="000000"/>
                <w:spacing w:val="0"/>
                <w:position w:val="0"/>
                <w:sz w:val="24"/>
                <w:shd w:fill="auto" w:val="clear"/>
              </w:rPr>
              <w:t xml:space="preserve">Preparing a project report involves an analysis of financial data to project future cash outflows and inflows, as well as, a thorough assessment of the following:</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Symbol" w:hAnsi="Symbol" w:cs="Symbol" w:eastAsia="Symbol"/>
                <w:color w:val="000000"/>
                <w:spacing w:val="0"/>
                <w:position w:val="0"/>
                <w:sz w:val="24"/>
                <w:shd w:fill="auto" w:val="clear"/>
              </w:rPr>
              <w:t xml:space="preserve">· </w:t>
            </w:r>
            <w:r>
              <w:rPr>
                <w:rFonts w:ascii="Calibri" w:hAnsi="Calibri" w:cs="Calibri" w:eastAsia="Calibri"/>
                <w:color w:val="000000"/>
                <w:spacing w:val="0"/>
                <w:position w:val="0"/>
                <w:sz w:val="24"/>
                <w:shd w:fill="auto" w:val="clear"/>
              </w:rPr>
              <w:t xml:space="preserve">The project’s potential in the market</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Symbol" w:hAnsi="Symbol" w:cs="Symbol" w:eastAsia="Symbol"/>
                <w:color w:val="000000"/>
                <w:spacing w:val="0"/>
                <w:position w:val="0"/>
                <w:sz w:val="24"/>
                <w:shd w:fill="auto" w:val="clear"/>
              </w:rPr>
              <w:t xml:space="preserve">· </w:t>
            </w:r>
            <w:r>
              <w:rPr>
                <w:rFonts w:ascii="Calibri" w:hAnsi="Calibri" w:cs="Calibri" w:eastAsia="Calibri"/>
                <w:color w:val="000000"/>
                <w:spacing w:val="0"/>
                <w:position w:val="0"/>
                <w:sz w:val="24"/>
                <w:shd w:fill="auto" w:val="clear"/>
              </w:rPr>
              <w:t xml:space="preserve">Its technical feasibility</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Symbol" w:hAnsi="Symbol" w:cs="Symbol" w:eastAsia="Symbol"/>
                <w:color w:val="000000"/>
                <w:spacing w:val="0"/>
                <w:position w:val="0"/>
                <w:sz w:val="24"/>
                <w:shd w:fill="auto" w:val="clear"/>
              </w:rPr>
              <w:t xml:space="preserve">· </w:t>
            </w:r>
            <w:r>
              <w:rPr>
                <w:rFonts w:ascii="Calibri" w:hAnsi="Calibri" w:cs="Calibri" w:eastAsia="Calibri"/>
                <w:color w:val="000000"/>
                <w:spacing w:val="0"/>
                <w:position w:val="0"/>
                <w:sz w:val="24"/>
                <w:shd w:fill="auto" w:val="clear"/>
              </w:rPr>
              <w:t xml:space="preserve">Its environmental impact</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Symbol" w:hAnsi="Symbol" w:cs="Symbol" w:eastAsia="Symbol"/>
                <w:color w:val="000000"/>
                <w:spacing w:val="0"/>
                <w:position w:val="0"/>
                <w:sz w:val="24"/>
                <w:shd w:fill="auto" w:val="clear"/>
              </w:rPr>
              <w:t xml:space="preserve">· </w:t>
            </w:r>
            <w:r>
              <w:rPr>
                <w:rFonts w:ascii="Calibri" w:hAnsi="Calibri" w:cs="Calibri" w:eastAsia="Calibri"/>
                <w:color w:val="000000"/>
                <w:spacing w:val="0"/>
                <w:position w:val="0"/>
                <w:sz w:val="24"/>
                <w:shd w:fill="auto" w:val="clear"/>
              </w:rPr>
              <w:t xml:space="preserve">Its financial feasibility</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Symbol" w:hAnsi="Symbol" w:cs="Symbol" w:eastAsia="Symbol"/>
                <w:color w:val="000000"/>
                <w:spacing w:val="0"/>
                <w:position w:val="0"/>
                <w:sz w:val="24"/>
                <w:shd w:fill="auto" w:val="clear"/>
              </w:rPr>
              <w:t xml:space="preserve">· </w:t>
            </w:r>
            <w:r>
              <w:rPr>
                <w:rFonts w:ascii="Calibri" w:hAnsi="Calibri" w:cs="Calibri" w:eastAsia="Calibri"/>
                <w:color w:val="000000"/>
                <w:spacing w:val="0"/>
                <w:position w:val="0"/>
                <w:sz w:val="24"/>
                <w:shd w:fill="auto" w:val="clear"/>
              </w:rPr>
              <w:t xml:space="preserve">Availability of managerial skills required for the project</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8"/>
                <w:shd w:fill="auto" w:val="clear"/>
              </w:rPr>
              <w:t xml:space="preserve">Why is a n environmental impact documented in a project report and how can it affect future cash inflows and outflows</w:t>
            </w:r>
            <w:r>
              <w:rPr>
                <w:rFonts w:ascii="Calibri" w:hAnsi="Calibri" w:cs="Calibri" w:eastAsia="Calibri"/>
                <w:color w:val="000000"/>
                <w:spacing w:val="0"/>
                <w:position w:val="0"/>
                <w:sz w:val="24"/>
                <w:shd w:fill="auto" w:val="clear"/>
              </w:rPr>
              <w:t xml:space="preserve">. (1.5 marks for one well - expressed point).</w:t>
            </w:r>
          </w:p>
          <w:p>
            <w:pPr>
              <w:spacing w:before="0" w:after="0" w:line="240"/>
              <w:ind w:right="0" w:left="0" w:firstLine="0"/>
              <w:jc w:val="left"/>
              <w:rPr>
                <w:rFonts w:ascii="Calibri" w:hAnsi="Calibri" w:cs="Calibri" w:eastAsia="Calibri"/>
                <w:color w:val="000000"/>
                <w:spacing w:val="0"/>
                <w:position w:val="0"/>
                <w:sz w:val="24"/>
                <w:shd w:fill="auto" w:val="clear"/>
              </w:rPr>
            </w:pP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    Environmental Impact Assessment (EIA) is a process of evaluating the likely environmental impacts of a proposed project or development, taking into account inter-related socio-economic, cultural and human-health impacts, both beneficial and adverse.</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   Opportunity cost rate of a project is calculated by the amount that can be earned if the</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funds were invested elsewhere with similar risk involved. Rate of return of a project should at least be equal to the opportunity cost rate.</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   So, if a project has higher risk associated with it, it will also have a higher expected rate of return. Different investment opportunities have their own respective rates of return or cost of capital based on the risks involved. Thus, it makes sense to increase Required Rate of Return (RRR) with an increase in risk. Required Rate of Return can also be described as a sum of risk-free rate of interest and risk premium. Firms calculate and maintain their average risk and average cost of capital. For each investment project, it is expected that if the risk is equal to the average value, then rate of return should at least be equal to the average cost of the capital of the firm.</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    Firms setup their desired minimum rates in following two ways: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auto"/>
                <w:spacing w:val="0"/>
                <w:position w:val="0"/>
                <w:sz w:val="24"/>
                <w:shd w:fill="auto" w:val="clear"/>
              </w:rPr>
              <w:t xml:space="preserve">I. </w:t>
            </w:r>
            <w:r>
              <w:rPr>
                <w:rFonts w:ascii="Calibri" w:hAnsi="Calibri" w:cs="Calibri" w:eastAsia="Calibri"/>
                <w:color w:val="000000"/>
                <w:spacing w:val="0"/>
                <w:position w:val="0"/>
                <w:sz w:val="24"/>
                <w:shd w:fill="auto" w:val="clear"/>
              </w:rPr>
              <w:t xml:space="preserve">Minimum rates are based on what is acceptable in the industry or on the performance of the</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company.</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auto"/>
                <w:spacing w:val="0"/>
                <w:position w:val="0"/>
                <w:sz w:val="24"/>
                <w:shd w:fill="auto" w:val="clear"/>
              </w:rPr>
              <w:t xml:space="preserve">II. </w:t>
            </w:r>
            <w:r>
              <w:rPr>
                <w:rFonts w:ascii="Calibri" w:hAnsi="Calibri" w:cs="Calibri" w:eastAsia="Calibri"/>
                <w:color w:val="000000"/>
                <w:spacing w:val="0"/>
                <w:position w:val="0"/>
                <w:sz w:val="24"/>
                <w:shd w:fill="auto" w:val="clear"/>
              </w:rPr>
              <w:t xml:space="preserve">Minimum rates can also be based on the cost of funds.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    The first option is more subjective than the second. It depends on the management to term its operating performance satisfactory and it can select that for carrying out new capital projects. The management may also decide to go with the industry standard if it feels that it is better for improved results while undertaking new projects. Still, the management can also decide to ignore firm’s performance and industrial standard, and can setup an independent minimum rate keeping in mind the level of future profits and firm’s strategy.</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The second option is based on the cost of funds or cost of capital. In this method, the minimum rate is selected based on how much it costs the firm for funds or money in the market. The cost of capital can be determined using different methods. The cost is reflected in the form of an interest rate for an amount borrowed. The cost of preference shares is clearer than cost of equity funds but as preference stocks have the same characteristics as borrowed funds, it may not be entirely useful for the cost of this type of capital. It is pertinent to note that if the shareholders had invested the dividends, after receiving the distribution, they would have earned on it. This reflects opportunity cost. If the funds are not distributed and are retained in the business then that means the shareholders have to forego these returns. </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The market price of a company’s shares listed on the stock exchange indicates the company’s earnings per share (after taxes). The market price of shares in also affected by the company’s dividend and earnings retention policies. Therefore, relating a company’s earnings per share to the market value of its stock is one of the methods of calculating the cost of common equity capital of the company.</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The cost of capital of a company keeps changing depending on the capital structure, the company’s future financing plans and changes in the rate of earnings. In order to calculate a company’s cost of capital, the capital structure, expected cost of borrowing and the market cost of equity must be taken into account.</w:t>
            </w:r>
          </w:p>
          <w:p>
            <w:pPr>
              <w:spacing w:before="0" w:after="0" w:line="240"/>
              <w:ind w:right="0" w:left="0" w:firstLine="0"/>
              <w:jc w:val="left"/>
              <w:rPr>
                <w:rFonts w:ascii="Calibri" w:hAnsi="Calibri" w:cs="Calibri" w:eastAsia="Calibri"/>
                <w:color w:val="auto"/>
                <w:spacing w:val="0"/>
                <w:position w:val="0"/>
                <w:sz w:val="24"/>
                <w:shd w:fill="auto" w:val="clear"/>
              </w:rPr>
            </w:pPr>
          </w:p>
          <w:p>
            <w:pPr>
              <w:spacing w:before="0" w:after="0" w:line="240"/>
              <w:ind w:right="0" w:left="0" w:firstLine="0"/>
              <w:jc w:val="left"/>
              <w:rPr>
                <w:rFonts w:ascii="Calibri" w:hAnsi="Calibri" w:cs="Calibri" w:eastAsia="Calibri"/>
                <w:color w:val="auto"/>
                <w:spacing w:val="0"/>
                <w:position w:val="0"/>
                <w:sz w:val="24"/>
                <w:shd w:fill="auto" w:val="clear"/>
              </w:rPr>
            </w:pPr>
            <w:r>
              <w:object w:dxaOrig="8100" w:dyaOrig="6405">
                <v:rect xmlns:o="urn:schemas-microsoft-com:office:office" xmlns:v="urn:schemas-microsoft-com:vml" id="rectole0000000004" style="width:405.000000pt;height:320.250000pt" o:preferrelative="t" o:ole="">
                  <o:lock v:ext="edit"/>
                  <v:imagedata xmlns:r="http://schemas.openxmlformats.org/officeDocument/2006/relationships" r:id="docRId9" o:title=""/>
                </v:rect>
                <o:OLEObject xmlns:r="http://schemas.openxmlformats.org/officeDocument/2006/relationships" xmlns:o="urn:schemas-microsoft-com:office:office" Type="Embed" ProgID="StaticMetafile" DrawAspect="Content" ObjectID="0000000004" ShapeID="rectole0000000004" r:id="docRId8"/>
              </w:objec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spacing w:val="0"/>
                <w:position w:val="0"/>
                <w:shd w:fill="auto" w:val="clear"/>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Viorica-Elena Preda(Botosaru)</w:t>
            </w: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16.11.2017</w:t>
            </w: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edia/image1.wmf" Id="docRId3" Type="http://schemas.openxmlformats.org/officeDocument/2006/relationships/image" /><Relationship Target="media/image3.wmf" Id="docRId7" Type="http://schemas.openxmlformats.org/officeDocument/2006/relationships/image" /><Relationship Target="embeddings/oleObject0.bin" Id="docRId0" Type="http://schemas.openxmlformats.org/officeDocument/2006/relationships/oleObject" /><Relationship Target="numbering.xml" Id="docRId10" Type="http://schemas.openxmlformats.org/officeDocument/2006/relationships/numbering" /><Relationship Target="embeddings/oleObject1.bin" Id="docRId2" Type="http://schemas.openxmlformats.org/officeDocument/2006/relationships/oleObject" /><Relationship Target="embeddings/oleObject2.bin" Id="docRId4" Type="http://schemas.openxmlformats.org/officeDocument/2006/relationships/oleObject" /><Relationship Target="embeddings/oleObject3.bin" Id="docRId6" Type="http://schemas.openxmlformats.org/officeDocument/2006/relationships/oleObject" /><Relationship Target="embeddings/oleObject4.bin" Id="docRId8" Type="http://schemas.openxmlformats.org/officeDocument/2006/relationships/oleObject" /><Relationship Target="media/image0.wmf" Id="docRId1" Type="http://schemas.openxmlformats.org/officeDocument/2006/relationships/image" /><Relationship Target="styles.xml" Id="docRId11" Type="http://schemas.openxmlformats.org/officeDocument/2006/relationships/styles" /><Relationship Target="media/image2.wmf" Id="docRId5" Type="http://schemas.openxmlformats.org/officeDocument/2006/relationships/image" /><Relationship Target="media/image4.wmf" Id="docRId9" Type="http://schemas.openxmlformats.org/officeDocument/2006/relationships/image" /></Relationships>
</file>