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E53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244E6C" wp14:editId="11E16D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B66104" w14:textId="77777777" w:rsidR="00607874" w:rsidRDefault="00E778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39B45C" wp14:editId="10C8E27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EF241" w14:textId="77777777" w:rsidR="00E51965" w:rsidRDefault="00E51965" w:rsidP="00405895">
                            <w:pPr>
                              <w:jc w:val="center"/>
                              <w:rPr>
                                <w:b/>
                                <w:bCs/>
                                <w:color w:val="002060"/>
                                <w:sz w:val="44"/>
                                <w:szCs w:val="40"/>
                              </w:rPr>
                            </w:pPr>
                            <w:r>
                              <w:rPr>
                                <w:sz w:val="24"/>
                              </w:rPr>
                              <w:t xml:space="preserve">   </w:t>
                            </w:r>
                            <w:r>
                              <w:rPr>
                                <w:b/>
                                <w:bCs/>
                                <w:color w:val="002060"/>
                                <w:sz w:val="44"/>
                                <w:szCs w:val="40"/>
                              </w:rPr>
                              <w:t>Assignment Cover Sheet</w:t>
                            </w:r>
                          </w:p>
                          <w:p w14:paraId="2EE0911D" w14:textId="77777777" w:rsidR="00E51965" w:rsidRDefault="00E5196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39B4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93EF241" w14:textId="77777777" w:rsidR="00E51965" w:rsidRDefault="00E51965" w:rsidP="00405895">
                      <w:pPr>
                        <w:jc w:val="center"/>
                        <w:rPr>
                          <w:b/>
                          <w:bCs/>
                          <w:color w:val="002060"/>
                          <w:sz w:val="44"/>
                          <w:szCs w:val="40"/>
                        </w:rPr>
                      </w:pPr>
                      <w:r>
                        <w:rPr>
                          <w:sz w:val="24"/>
                        </w:rPr>
                        <w:t xml:space="preserve">   </w:t>
                      </w:r>
                      <w:r>
                        <w:rPr>
                          <w:b/>
                          <w:bCs/>
                          <w:color w:val="002060"/>
                          <w:sz w:val="44"/>
                          <w:szCs w:val="40"/>
                        </w:rPr>
                        <w:t>Assignment Cover Sheet</w:t>
                      </w:r>
                    </w:p>
                    <w:p w14:paraId="2EE0911D" w14:textId="77777777" w:rsidR="00E51965" w:rsidRDefault="00E51965"/>
                  </w:txbxContent>
                </v:textbox>
              </v:shape>
            </w:pict>
          </mc:Fallback>
        </mc:AlternateContent>
      </w:r>
    </w:p>
    <w:p w14:paraId="7EB4B888" w14:textId="77777777" w:rsidR="00607874" w:rsidRDefault="00607874" w:rsidP="00A851DA">
      <w:pPr>
        <w:rPr>
          <w:lang w:val="en-US"/>
        </w:rPr>
      </w:pPr>
    </w:p>
    <w:p w14:paraId="761830B0" w14:textId="77777777" w:rsidR="00607874" w:rsidRDefault="00607874" w:rsidP="00A851DA">
      <w:pPr>
        <w:rPr>
          <w:lang w:val="en-US"/>
        </w:rPr>
      </w:pPr>
    </w:p>
    <w:p w14:paraId="1910D6B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44B68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0ABB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C5D363" w14:textId="09AB6CE7" w:rsidR="00A851DA" w:rsidRPr="00B0415E" w:rsidRDefault="00955D35">
            <w:pPr>
              <w:pStyle w:val="Default"/>
              <w:rPr>
                <w:rFonts w:asciiTheme="minorHAnsi" w:hAnsiTheme="minorHAnsi"/>
              </w:rPr>
            </w:pPr>
            <w:r>
              <w:rPr>
                <w:rFonts w:asciiTheme="minorHAnsi" w:hAnsiTheme="minorHAnsi"/>
              </w:rPr>
              <w:t>Brynley Parry</w:t>
            </w:r>
          </w:p>
        </w:tc>
      </w:tr>
      <w:tr w:rsidR="00A851DA" w:rsidRPr="00B0415E" w14:paraId="31D0EC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310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06ED77" w14:textId="1920B6E5" w:rsidR="00A851DA" w:rsidRPr="00B0415E" w:rsidRDefault="00955D35">
            <w:pPr>
              <w:pStyle w:val="Default"/>
              <w:rPr>
                <w:rFonts w:asciiTheme="minorHAnsi" w:hAnsiTheme="minorHAnsi"/>
              </w:rPr>
            </w:pPr>
            <w:r>
              <w:rPr>
                <w:rFonts w:asciiTheme="minorHAnsi" w:hAnsiTheme="minorHAnsi"/>
              </w:rPr>
              <w:t>219</w:t>
            </w:r>
            <w:r w:rsidR="00147BA2">
              <w:rPr>
                <w:rFonts w:asciiTheme="minorHAnsi" w:hAnsiTheme="minorHAnsi"/>
              </w:rPr>
              <w:t>59</w:t>
            </w:r>
          </w:p>
        </w:tc>
      </w:tr>
      <w:tr w:rsidR="00A851DA" w:rsidRPr="00B0415E" w14:paraId="3FED59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48D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C475F0" w14:textId="022CB8C1" w:rsidR="00A851DA" w:rsidRPr="00B0415E" w:rsidRDefault="00147BA2">
            <w:pPr>
              <w:pStyle w:val="Default"/>
              <w:rPr>
                <w:rFonts w:asciiTheme="minorHAnsi" w:hAnsiTheme="minorHAnsi"/>
              </w:rPr>
            </w:pPr>
            <w:r>
              <w:rPr>
                <w:rFonts w:asciiTheme="minorHAnsi" w:hAnsiTheme="minorHAnsi"/>
              </w:rPr>
              <w:t>Risk</w:t>
            </w:r>
            <w:r w:rsidR="00955D35">
              <w:rPr>
                <w:rFonts w:asciiTheme="minorHAnsi" w:hAnsiTheme="minorHAnsi"/>
              </w:rPr>
              <w:t xml:space="preserve"> Management</w:t>
            </w:r>
          </w:p>
        </w:tc>
      </w:tr>
      <w:tr w:rsidR="00A851DA" w:rsidRPr="00B0415E" w14:paraId="3E1242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5DB0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005039" w14:textId="12DF0169" w:rsidR="00A851DA" w:rsidRPr="00B0415E" w:rsidRDefault="00D07C42">
            <w:r>
              <w:t>7</w:t>
            </w:r>
          </w:p>
        </w:tc>
      </w:tr>
    </w:tbl>
    <w:p w14:paraId="5D8AE70D" w14:textId="77777777" w:rsidR="00CC2FB3" w:rsidRDefault="00CC2FB3" w:rsidP="00A851DA">
      <w:pPr>
        <w:rPr>
          <w:b/>
          <w:lang w:val="en-US"/>
        </w:rPr>
      </w:pPr>
    </w:p>
    <w:p w14:paraId="34CEC8F2" w14:textId="77777777" w:rsidR="00443E6F" w:rsidRDefault="00527C11" w:rsidP="00A851DA">
      <w:pPr>
        <w:rPr>
          <w:b/>
          <w:sz w:val="28"/>
          <w:lang w:val="en-US"/>
        </w:rPr>
      </w:pPr>
      <w:r w:rsidRPr="00443E6F">
        <w:rPr>
          <w:b/>
          <w:sz w:val="28"/>
          <w:lang w:val="en-US"/>
        </w:rPr>
        <w:t>Marking Criteria:</w:t>
      </w:r>
    </w:p>
    <w:p w14:paraId="7BFFC2FA" w14:textId="26BFD901"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E7F3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1A3B53" w14:textId="77777777" w:rsidTr="003674B4">
        <w:tc>
          <w:tcPr>
            <w:tcW w:w="9016" w:type="dxa"/>
          </w:tcPr>
          <w:p w14:paraId="032956C9" w14:textId="77777777" w:rsidR="000239B9" w:rsidRDefault="000239B9" w:rsidP="00955D35">
            <w:pPr>
              <w:rPr>
                <w:rFonts w:ascii="Arial" w:hAnsi="Arial" w:cs="Arial"/>
                <w:b/>
                <w:sz w:val="24"/>
                <w:szCs w:val="24"/>
                <w:u w:val="single"/>
              </w:rPr>
            </w:pPr>
          </w:p>
          <w:p w14:paraId="6DEC1F4A" w14:textId="22A69008" w:rsidR="00955D35" w:rsidRPr="0022314C" w:rsidRDefault="00524F13" w:rsidP="00955D35">
            <w:pPr>
              <w:rPr>
                <w:rFonts w:ascii="Arial" w:hAnsi="Arial" w:cs="Arial"/>
                <w:b/>
                <w:sz w:val="24"/>
                <w:szCs w:val="24"/>
                <w:u w:val="single"/>
              </w:rPr>
            </w:pPr>
            <w:r w:rsidRPr="0022314C">
              <w:rPr>
                <w:rFonts w:ascii="Arial" w:hAnsi="Arial" w:cs="Arial"/>
                <w:b/>
                <w:sz w:val="24"/>
                <w:szCs w:val="24"/>
                <w:u w:val="single"/>
              </w:rPr>
              <w:t>Risk</w:t>
            </w:r>
            <w:r w:rsidR="00955D35" w:rsidRPr="0022314C">
              <w:rPr>
                <w:rFonts w:ascii="Arial" w:hAnsi="Arial" w:cs="Arial"/>
                <w:b/>
                <w:sz w:val="24"/>
                <w:szCs w:val="24"/>
                <w:u w:val="single"/>
              </w:rPr>
              <w:t xml:space="preserve"> Management – Unit </w:t>
            </w:r>
            <w:r w:rsidR="00D07C42">
              <w:rPr>
                <w:rFonts w:ascii="Arial" w:hAnsi="Arial" w:cs="Arial"/>
                <w:b/>
                <w:sz w:val="24"/>
                <w:szCs w:val="24"/>
                <w:u w:val="single"/>
              </w:rPr>
              <w:t>7</w:t>
            </w:r>
            <w:r w:rsidR="00361B01">
              <w:rPr>
                <w:rFonts w:ascii="Arial" w:hAnsi="Arial" w:cs="Arial"/>
                <w:b/>
                <w:sz w:val="24"/>
                <w:szCs w:val="24"/>
                <w:u w:val="single"/>
              </w:rPr>
              <w:t xml:space="preserve"> – </w:t>
            </w:r>
            <w:r w:rsidR="005D0F95">
              <w:rPr>
                <w:rFonts w:ascii="Arial" w:hAnsi="Arial" w:cs="Arial"/>
                <w:b/>
                <w:sz w:val="24"/>
                <w:szCs w:val="24"/>
                <w:u w:val="single"/>
              </w:rPr>
              <w:t>Financial Risk Management</w:t>
            </w:r>
          </w:p>
          <w:p w14:paraId="73EAE940" w14:textId="63F31ECE" w:rsidR="00C414D2" w:rsidRDefault="00C414D2" w:rsidP="00955D35">
            <w:pPr>
              <w:rPr>
                <w:rFonts w:ascii="Arial" w:hAnsi="Arial" w:cs="Arial"/>
                <w:b/>
                <w:sz w:val="24"/>
                <w:szCs w:val="24"/>
              </w:rPr>
            </w:pPr>
          </w:p>
          <w:p w14:paraId="00F1B11D" w14:textId="77777777" w:rsidR="000239B9" w:rsidRPr="0022314C" w:rsidRDefault="000239B9" w:rsidP="00955D35">
            <w:pPr>
              <w:rPr>
                <w:rFonts w:ascii="Arial" w:hAnsi="Arial" w:cs="Arial"/>
                <w:b/>
                <w:sz w:val="24"/>
                <w:szCs w:val="24"/>
              </w:rPr>
            </w:pPr>
          </w:p>
          <w:p w14:paraId="0B58B416" w14:textId="61138F64" w:rsidR="00147BA2" w:rsidRDefault="00147BA2" w:rsidP="00147BA2">
            <w:pPr>
              <w:pStyle w:val="Standard"/>
              <w:rPr>
                <w:rFonts w:ascii="Arial" w:hAnsi="Arial" w:cs="Arial"/>
                <w:b/>
              </w:rPr>
            </w:pPr>
            <w:r w:rsidRPr="0022314C">
              <w:rPr>
                <w:rFonts w:ascii="Arial" w:hAnsi="Arial" w:cs="Arial"/>
                <w:b/>
              </w:rPr>
              <w:t>Q1.</w:t>
            </w:r>
          </w:p>
          <w:p w14:paraId="4670CB31" w14:textId="77777777" w:rsidR="00994C73" w:rsidRPr="0022314C" w:rsidRDefault="00994C73" w:rsidP="00147BA2">
            <w:pPr>
              <w:pStyle w:val="Standard"/>
              <w:rPr>
                <w:rFonts w:ascii="Arial" w:hAnsi="Arial" w:cs="Arial"/>
                <w:b/>
              </w:rPr>
            </w:pPr>
          </w:p>
          <w:p w14:paraId="4E53E217" w14:textId="0F91A363" w:rsidR="00E7056F" w:rsidRDefault="00147BA2" w:rsidP="00E959E4">
            <w:pPr>
              <w:pStyle w:val="Standard"/>
              <w:spacing w:line="360" w:lineRule="auto"/>
              <w:rPr>
                <w:rFonts w:ascii="Arial" w:hAnsi="Arial" w:cs="Arial"/>
              </w:rPr>
            </w:pPr>
            <w:r w:rsidRPr="0022314C">
              <w:rPr>
                <w:rFonts w:ascii="Arial" w:hAnsi="Arial" w:cs="Arial"/>
                <w:b/>
              </w:rPr>
              <w:t>i</w:t>
            </w:r>
            <w:r w:rsidRPr="0022314C">
              <w:rPr>
                <w:rFonts w:ascii="Arial" w:hAnsi="Arial" w:cs="Arial"/>
              </w:rPr>
              <w:t>.</w:t>
            </w:r>
            <w:r w:rsidR="005B74D0">
              <w:rPr>
                <w:rFonts w:ascii="Arial" w:hAnsi="Arial" w:cs="Arial"/>
              </w:rPr>
              <w:t xml:space="preserve">  </w:t>
            </w:r>
          </w:p>
          <w:p w14:paraId="3BCF3E69" w14:textId="6135C875" w:rsidR="00A44598" w:rsidRDefault="00A44598" w:rsidP="00E959E4">
            <w:pPr>
              <w:pStyle w:val="Standard"/>
              <w:spacing w:line="360" w:lineRule="auto"/>
              <w:rPr>
                <w:rFonts w:ascii="Arial" w:hAnsi="Arial" w:cs="Arial"/>
              </w:rPr>
            </w:pPr>
            <w:r>
              <w:rPr>
                <w:rFonts w:ascii="Arial" w:hAnsi="Arial" w:cs="Arial"/>
              </w:rPr>
              <w:t xml:space="preserve">The </w:t>
            </w:r>
            <w:r w:rsidR="00711E0A">
              <w:rPr>
                <w:rFonts w:ascii="Arial" w:hAnsi="Arial" w:cs="Arial"/>
              </w:rPr>
              <w:t>types of financial risk are:</w:t>
            </w:r>
          </w:p>
          <w:p w14:paraId="675812E2" w14:textId="77777777" w:rsidR="003504A0" w:rsidRDefault="003504A0" w:rsidP="00E959E4">
            <w:pPr>
              <w:pStyle w:val="Standard"/>
              <w:spacing w:line="360" w:lineRule="auto"/>
              <w:rPr>
                <w:rFonts w:ascii="Arial" w:hAnsi="Arial" w:cs="Arial"/>
              </w:rPr>
            </w:pPr>
          </w:p>
          <w:p w14:paraId="7636BF06" w14:textId="2E3198F8" w:rsidR="003B220F" w:rsidRDefault="00711E0A" w:rsidP="003B220F">
            <w:pPr>
              <w:pStyle w:val="Standard"/>
              <w:numPr>
                <w:ilvl w:val="0"/>
                <w:numId w:val="37"/>
              </w:numPr>
              <w:spacing w:line="360" w:lineRule="auto"/>
              <w:rPr>
                <w:rFonts w:ascii="Arial" w:hAnsi="Arial" w:cs="Arial"/>
              </w:rPr>
            </w:pPr>
            <w:r w:rsidRPr="00711E0A">
              <w:rPr>
                <w:rFonts w:ascii="Arial" w:hAnsi="Arial" w:cs="Arial"/>
                <w:b/>
              </w:rPr>
              <w:t>Liquidity risk</w:t>
            </w:r>
            <w:r w:rsidR="003B220F" w:rsidRPr="00711E0A">
              <w:rPr>
                <w:rFonts w:ascii="Arial" w:hAnsi="Arial" w:cs="Arial"/>
                <w:b/>
              </w:rPr>
              <w:t>.</w:t>
            </w:r>
            <w:r>
              <w:rPr>
                <w:rFonts w:ascii="Arial" w:hAnsi="Arial" w:cs="Arial"/>
              </w:rPr>
              <w:t xml:space="preserve"> This is not being able to meet your short term financial obligations. This includes salaries, rent and suppliers.</w:t>
            </w:r>
          </w:p>
          <w:p w14:paraId="359B0ED8" w14:textId="30C155E3" w:rsidR="00711E0A" w:rsidRDefault="00711E0A" w:rsidP="003B220F">
            <w:pPr>
              <w:pStyle w:val="Standard"/>
              <w:numPr>
                <w:ilvl w:val="0"/>
                <w:numId w:val="37"/>
              </w:numPr>
              <w:spacing w:line="360" w:lineRule="auto"/>
              <w:rPr>
                <w:rFonts w:ascii="Arial" w:hAnsi="Arial" w:cs="Arial"/>
              </w:rPr>
            </w:pPr>
            <w:r w:rsidRPr="00711E0A">
              <w:rPr>
                <w:rFonts w:ascii="Arial" w:hAnsi="Arial" w:cs="Arial"/>
                <w:b/>
              </w:rPr>
              <w:t>Interest rate risks.</w:t>
            </w:r>
            <w:r>
              <w:rPr>
                <w:rFonts w:ascii="Arial" w:hAnsi="Arial" w:cs="Arial"/>
              </w:rPr>
              <w:t xml:space="preserve">  This risk is that the customers disposable income declines due to the interest rate going up.  This will affect the amount of money that everyone has to spend and therefore sales will be down.</w:t>
            </w:r>
          </w:p>
          <w:p w14:paraId="152379CE" w14:textId="57B164D2" w:rsidR="00711E0A" w:rsidRDefault="00711E0A" w:rsidP="003B220F">
            <w:pPr>
              <w:pStyle w:val="Standard"/>
              <w:numPr>
                <w:ilvl w:val="0"/>
                <w:numId w:val="37"/>
              </w:numPr>
              <w:spacing w:line="360" w:lineRule="auto"/>
              <w:rPr>
                <w:rFonts w:ascii="Arial" w:hAnsi="Arial" w:cs="Arial"/>
              </w:rPr>
            </w:pPr>
            <w:r w:rsidRPr="006C6491">
              <w:rPr>
                <w:rFonts w:ascii="Arial" w:hAnsi="Arial" w:cs="Arial"/>
                <w:b/>
              </w:rPr>
              <w:t>Credit risk.</w:t>
            </w:r>
            <w:r>
              <w:rPr>
                <w:rFonts w:ascii="Arial" w:hAnsi="Arial" w:cs="Arial"/>
              </w:rPr>
              <w:t xml:space="preserve"> </w:t>
            </w:r>
            <w:r w:rsidR="00A010D2">
              <w:rPr>
                <w:rFonts w:ascii="Arial" w:hAnsi="Arial" w:cs="Arial"/>
              </w:rPr>
              <w:t>This is where a debtor faulters on their payment</w:t>
            </w:r>
            <w:r w:rsidR="006C6491">
              <w:rPr>
                <w:rFonts w:ascii="Arial" w:hAnsi="Arial" w:cs="Arial"/>
              </w:rPr>
              <w:t>.</w:t>
            </w:r>
            <w:r w:rsidR="00A010D2">
              <w:rPr>
                <w:rFonts w:ascii="Arial" w:hAnsi="Arial" w:cs="Arial"/>
              </w:rPr>
              <w:t xml:space="preserve">  This is the amount of risk that is taken by the creditor when lending out the money.</w:t>
            </w:r>
          </w:p>
          <w:p w14:paraId="1B994504" w14:textId="7512536F" w:rsidR="00711E0A" w:rsidRDefault="00711E0A" w:rsidP="003B220F">
            <w:pPr>
              <w:pStyle w:val="Standard"/>
              <w:numPr>
                <w:ilvl w:val="0"/>
                <w:numId w:val="37"/>
              </w:numPr>
              <w:spacing w:line="360" w:lineRule="auto"/>
              <w:rPr>
                <w:rFonts w:ascii="Arial" w:hAnsi="Arial" w:cs="Arial"/>
              </w:rPr>
            </w:pPr>
            <w:r w:rsidRPr="006C6491">
              <w:rPr>
                <w:rFonts w:ascii="Arial" w:hAnsi="Arial" w:cs="Arial"/>
                <w:b/>
              </w:rPr>
              <w:t>Currency risk.</w:t>
            </w:r>
            <w:r w:rsidR="006C6491">
              <w:rPr>
                <w:rFonts w:ascii="Arial" w:hAnsi="Arial" w:cs="Arial"/>
              </w:rPr>
              <w:t xml:space="preserve">  If a company relies on overseas investment or selling abroad then the interest rate can cause issues to the company.  It should be noted that this can be a positive impact depending on the direction the interest rate moves and if they are importing or exporting goods.</w:t>
            </w:r>
          </w:p>
          <w:p w14:paraId="7EB0498A" w14:textId="44637A48" w:rsidR="00711E0A" w:rsidRDefault="00711E0A" w:rsidP="003B220F">
            <w:pPr>
              <w:pStyle w:val="Standard"/>
              <w:numPr>
                <w:ilvl w:val="0"/>
                <w:numId w:val="37"/>
              </w:numPr>
              <w:spacing w:line="360" w:lineRule="auto"/>
              <w:rPr>
                <w:rFonts w:ascii="Arial" w:hAnsi="Arial" w:cs="Arial"/>
              </w:rPr>
            </w:pPr>
            <w:r w:rsidRPr="006C6491">
              <w:rPr>
                <w:rFonts w:ascii="Arial" w:hAnsi="Arial" w:cs="Arial"/>
                <w:b/>
              </w:rPr>
              <w:lastRenderedPageBreak/>
              <w:t>Foreign investment risk.</w:t>
            </w:r>
            <w:r w:rsidR="006C6491">
              <w:rPr>
                <w:rFonts w:ascii="Arial" w:hAnsi="Arial" w:cs="Arial"/>
              </w:rPr>
              <w:t xml:space="preserve">  This risk refers to the movement of money across boarders and the limitations and taxes which are imposed accordingly</w:t>
            </w:r>
            <w:r w:rsidR="004E5F64">
              <w:rPr>
                <w:rFonts w:ascii="Arial" w:hAnsi="Arial" w:cs="Arial"/>
              </w:rPr>
              <w:t>,</w:t>
            </w:r>
            <w:r w:rsidR="006C6491">
              <w:rPr>
                <w:rFonts w:ascii="Arial" w:hAnsi="Arial" w:cs="Arial"/>
              </w:rPr>
              <w:t xml:space="preserve"> </w:t>
            </w:r>
            <w:r w:rsidR="004E5F64">
              <w:rPr>
                <w:rFonts w:ascii="Arial" w:hAnsi="Arial" w:cs="Arial"/>
              </w:rPr>
              <w:t>t</w:t>
            </w:r>
            <w:r w:rsidR="006C6491">
              <w:rPr>
                <w:rFonts w:ascii="Arial" w:hAnsi="Arial" w:cs="Arial"/>
              </w:rPr>
              <w:t xml:space="preserve">his can be </w:t>
            </w:r>
            <w:r w:rsidR="004E5F64">
              <w:rPr>
                <w:rFonts w:ascii="Arial" w:hAnsi="Arial" w:cs="Arial"/>
              </w:rPr>
              <w:t>caused by bank freezes etc.</w:t>
            </w:r>
          </w:p>
          <w:p w14:paraId="235E19C5" w14:textId="00502DF6" w:rsidR="00711E0A" w:rsidRDefault="00711E0A" w:rsidP="003B220F">
            <w:pPr>
              <w:pStyle w:val="Standard"/>
              <w:numPr>
                <w:ilvl w:val="0"/>
                <w:numId w:val="37"/>
              </w:numPr>
              <w:spacing w:line="360" w:lineRule="auto"/>
              <w:rPr>
                <w:rFonts w:ascii="Arial" w:hAnsi="Arial" w:cs="Arial"/>
              </w:rPr>
            </w:pPr>
            <w:r w:rsidRPr="004E5F64">
              <w:rPr>
                <w:rFonts w:ascii="Arial" w:hAnsi="Arial" w:cs="Arial"/>
                <w:b/>
              </w:rPr>
              <w:t>Funding risk</w:t>
            </w:r>
            <w:r w:rsidR="004E5F64" w:rsidRPr="004E5F64">
              <w:rPr>
                <w:rFonts w:ascii="Arial" w:hAnsi="Arial" w:cs="Arial"/>
                <w:b/>
              </w:rPr>
              <w:t xml:space="preserve"> for borrowers</w:t>
            </w:r>
            <w:r w:rsidRPr="004E5F64">
              <w:rPr>
                <w:rFonts w:ascii="Arial" w:hAnsi="Arial" w:cs="Arial"/>
                <w:b/>
              </w:rPr>
              <w:t>.</w:t>
            </w:r>
            <w:r w:rsidR="004E5F64">
              <w:rPr>
                <w:rFonts w:ascii="Arial" w:hAnsi="Arial" w:cs="Arial"/>
              </w:rPr>
              <w:t xml:space="preserve">  This is where borrowers fail to meet their instalments on capital and interest payments.  Penalty charges may follow.</w:t>
            </w:r>
          </w:p>
          <w:p w14:paraId="328B0F61" w14:textId="5A0DA4A8" w:rsidR="004E5F64" w:rsidRDefault="004E5F64" w:rsidP="003B220F">
            <w:pPr>
              <w:pStyle w:val="Standard"/>
              <w:numPr>
                <w:ilvl w:val="0"/>
                <w:numId w:val="37"/>
              </w:numPr>
              <w:spacing w:line="360" w:lineRule="auto"/>
              <w:rPr>
                <w:rFonts w:ascii="Arial" w:hAnsi="Arial" w:cs="Arial"/>
              </w:rPr>
            </w:pPr>
            <w:r w:rsidRPr="004E5F64">
              <w:rPr>
                <w:rFonts w:ascii="Arial" w:hAnsi="Arial" w:cs="Arial"/>
                <w:b/>
              </w:rPr>
              <w:t>Outsourcing risk.</w:t>
            </w:r>
            <w:r>
              <w:rPr>
                <w:rFonts w:ascii="Arial" w:hAnsi="Arial" w:cs="Arial"/>
              </w:rPr>
              <w:t xml:space="preserve">  This is where an outside agency fails to meet their contracted obligations, i.e. failure to deliver on time due to financial problems.</w:t>
            </w:r>
          </w:p>
          <w:p w14:paraId="2B6BECD7" w14:textId="77777777" w:rsidR="004E5F64" w:rsidRPr="004E5F64" w:rsidRDefault="004E5F64" w:rsidP="004E5F64">
            <w:pPr>
              <w:pStyle w:val="Standard"/>
              <w:numPr>
                <w:ilvl w:val="0"/>
                <w:numId w:val="37"/>
              </w:numPr>
              <w:spacing w:line="360" w:lineRule="auto"/>
              <w:rPr>
                <w:rFonts w:ascii="Arial" w:hAnsi="Arial" w:cs="Arial"/>
              </w:rPr>
            </w:pPr>
            <w:r w:rsidRPr="004E5F64">
              <w:rPr>
                <w:rFonts w:ascii="Arial" w:hAnsi="Arial" w:cs="Arial"/>
                <w:b/>
              </w:rPr>
              <w:t>Systems risk.</w:t>
            </w:r>
            <w:r>
              <w:rPr>
                <w:rFonts w:ascii="Arial" w:hAnsi="Arial" w:cs="Arial"/>
              </w:rPr>
              <w:t xml:space="preserve">  This is due to the business processes failing and losing control of the business processes.  This may be an online store having computer issues, or not being able to access the client database.</w:t>
            </w:r>
          </w:p>
          <w:p w14:paraId="01AA4A23" w14:textId="1E3C0F50" w:rsidR="004E5F64" w:rsidRPr="004E5F64" w:rsidRDefault="004E5F64" w:rsidP="004E5F64">
            <w:pPr>
              <w:pStyle w:val="Standard"/>
              <w:numPr>
                <w:ilvl w:val="0"/>
                <w:numId w:val="37"/>
              </w:numPr>
              <w:spacing w:line="360" w:lineRule="auto"/>
              <w:rPr>
                <w:rFonts w:ascii="Arial" w:hAnsi="Arial" w:cs="Arial"/>
              </w:rPr>
            </w:pPr>
            <w:r w:rsidRPr="004E5F64">
              <w:rPr>
                <w:rFonts w:ascii="Arial" w:hAnsi="Arial" w:cs="Arial"/>
                <w:b/>
              </w:rPr>
              <w:t>Derivatives risk.</w:t>
            </w:r>
            <w:r>
              <w:rPr>
                <w:rFonts w:ascii="Arial" w:hAnsi="Arial" w:cs="Arial"/>
              </w:rPr>
              <w:t xml:space="preserve">  This is due to speculation in the stock markets.</w:t>
            </w:r>
          </w:p>
          <w:p w14:paraId="48D20D4F" w14:textId="77777777" w:rsidR="00711E0A" w:rsidRPr="003B220F" w:rsidRDefault="00711E0A" w:rsidP="003B220F">
            <w:pPr>
              <w:pStyle w:val="Standard"/>
              <w:spacing w:line="360" w:lineRule="auto"/>
              <w:rPr>
                <w:rFonts w:ascii="Arial" w:hAnsi="Arial" w:cs="Arial"/>
              </w:rPr>
            </w:pPr>
          </w:p>
          <w:p w14:paraId="06FC8AEC" w14:textId="4F90A29F" w:rsidR="00EF0B76" w:rsidRDefault="00D1278F" w:rsidP="00CE07CB">
            <w:pPr>
              <w:pStyle w:val="Standard"/>
              <w:spacing w:line="360" w:lineRule="auto"/>
              <w:rPr>
                <w:rFonts w:ascii="Arial" w:hAnsi="Arial" w:cs="Arial"/>
              </w:rPr>
            </w:pPr>
            <w:r w:rsidRPr="00334DD0">
              <w:rPr>
                <w:rFonts w:ascii="Arial" w:hAnsi="Arial" w:cs="Arial"/>
                <w:b/>
              </w:rPr>
              <w:t>i</w:t>
            </w:r>
            <w:r w:rsidR="0060402C" w:rsidRPr="00334DD0">
              <w:rPr>
                <w:rFonts w:ascii="Arial" w:hAnsi="Arial" w:cs="Arial"/>
                <w:b/>
              </w:rPr>
              <w:t>i</w:t>
            </w:r>
            <w:r w:rsidRPr="00334DD0">
              <w:rPr>
                <w:rFonts w:ascii="Arial" w:hAnsi="Arial" w:cs="Arial"/>
                <w:b/>
              </w:rPr>
              <w:t>.</w:t>
            </w:r>
            <w:r w:rsidR="00E959E4" w:rsidRPr="00334DD0">
              <w:rPr>
                <w:rFonts w:ascii="Arial" w:hAnsi="Arial" w:cs="Arial"/>
                <w:b/>
              </w:rPr>
              <w:t xml:space="preserve">  </w:t>
            </w:r>
          </w:p>
          <w:p w14:paraId="17CC226C" w14:textId="19274C93" w:rsidR="00F36A82" w:rsidRDefault="00F36A82" w:rsidP="00CE07CB">
            <w:pPr>
              <w:pStyle w:val="Standard"/>
              <w:spacing w:line="360" w:lineRule="auto"/>
              <w:rPr>
                <w:rFonts w:ascii="Arial" w:hAnsi="Arial" w:cs="Arial"/>
              </w:rPr>
            </w:pPr>
            <w:r>
              <w:rPr>
                <w:rFonts w:ascii="Arial" w:hAnsi="Arial" w:cs="Arial"/>
              </w:rPr>
              <w:t>The main benefits of financial risk management are:</w:t>
            </w:r>
          </w:p>
          <w:p w14:paraId="07620FB7" w14:textId="77777777" w:rsidR="00BD199E" w:rsidRDefault="00BD199E" w:rsidP="00BD199E">
            <w:pPr>
              <w:pStyle w:val="Standard"/>
              <w:spacing w:line="360" w:lineRule="auto"/>
              <w:ind w:left="360"/>
              <w:rPr>
                <w:rFonts w:ascii="Arial" w:hAnsi="Arial" w:cs="Arial"/>
              </w:rPr>
            </w:pPr>
          </w:p>
          <w:p w14:paraId="16EB94DF" w14:textId="7ABB881F" w:rsidR="00F36A82" w:rsidRDefault="00F36A82" w:rsidP="00CE07CB">
            <w:pPr>
              <w:pStyle w:val="Standard"/>
              <w:numPr>
                <w:ilvl w:val="0"/>
                <w:numId w:val="39"/>
              </w:numPr>
              <w:spacing w:line="360" w:lineRule="auto"/>
              <w:rPr>
                <w:rFonts w:ascii="Arial" w:hAnsi="Arial" w:cs="Arial"/>
              </w:rPr>
            </w:pPr>
            <w:r>
              <w:rPr>
                <w:rFonts w:ascii="Arial" w:hAnsi="Arial" w:cs="Arial"/>
              </w:rPr>
              <w:t>Improved financial planning and control which assists with corporate governance</w:t>
            </w:r>
            <w:r w:rsidR="00EF0B76" w:rsidRPr="00E84E64">
              <w:rPr>
                <w:rFonts w:ascii="Arial" w:hAnsi="Arial" w:cs="Arial"/>
              </w:rPr>
              <w:t>.</w:t>
            </w:r>
          </w:p>
          <w:p w14:paraId="018F38DF" w14:textId="77777777" w:rsidR="00F36A82" w:rsidRDefault="00F36A82" w:rsidP="00F36A82">
            <w:pPr>
              <w:pStyle w:val="Standard"/>
              <w:numPr>
                <w:ilvl w:val="0"/>
                <w:numId w:val="39"/>
              </w:numPr>
              <w:spacing w:line="360" w:lineRule="auto"/>
              <w:rPr>
                <w:rFonts w:ascii="Arial" w:hAnsi="Arial" w:cs="Arial"/>
              </w:rPr>
            </w:pPr>
            <w:r>
              <w:rPr>
                <w:rFonts w:ascii="Arial" w:hAnsi="Arial" w:cs="Arial"/>
              </w:rPr>
              <w:t>It inspires due diligence to take place when outsourcing and dealing with parties outside of the company.</w:t>
            </w:r>
          </w:p>
          <w:p w14:paraId="10DA6E31" w14:textId="1BDD4DAA" w:rsidR="00F36A82" w:rsidRDefault="00F36A82" w:rsidP="00F36A82">
            <w:pPr>
              <w:pStyle w:val="Standard"/>
              <w:numPr>
                <w:ilvl w:val="0"/>
                <w:numId w:val="39"/>
              </w:numPr>
              <w:spacing w:line="360" w:lineRule="auto"/>
              <w:rPr>
                <w:rFonts w:ascii="Arial" w:hAnsi="Arial" w:cs="Arial"/>
              </w:rPr>
            </w:pPr>
            <w:r>
              <w:rPr>
                <w:rFonts w:ascii="Arial" w:hAnsi="Arial" w:cs="Arial"/>
              </w:rPr>
              <w:t>It allows a company to be more confident with its investment choices.</w:t>
            </w:r>
          </w:p>
          <w:p w14:paraId="30311E7E" w14:textId="77777777" w:rsidR="00F36A82" w:rsidRDefault="00F36A82" w:rsidP="00F36A82">
            <w:pPr>
              <w:pStyle w:val="Standard"/>
              <w:numPr>
                <w:ilvl w:val="0"/>
                <w:numId w:val="39"/>
              </w:numPr>
              <w:spacing w:line="360" w:lineRule="auto"/>
              <w:rPr>
                <w:rFonts w:ascii="Arial" w:hAnsi="Arial" w:cs="Arial"/>
              </w:rPr>
            </w:pPr>
            <w:r>
              <w:rPr>
                <w:rFonts w:ascii="Arial" w:hAnsi="Arial" w:cs="Arial"/>
              </w:rPr>
              <w:t>It supports any stock market or hedging decisions.</w:t>
            </w:r>
          </w:p>
          <w:p w14:paraId="453CFBB2" w14:textId="77777777" w:rsidR="00BD199E" w:rsidRDefault="00F36A82" w:rsidP="00BD199E">
            <w:pPr>
              <w:pStyle w:val="Standard"/>
              <w:numPr>
                <w:ilvl w:val="0"/>
                <w:numId w:val="39"/>
              </w:numPr>
              <w:spacing w:line="360" w:lineRule="auto"/>
              <w:rPr>
                <w:rFonts w:ascii="Arial" w:hAnsi="Arial" w:cs="Arial"/>
              </w:rPr>
            </w:pPr>
            <w:r>
              <w:rPr>
                <w:rFonts w:ascii="Arial" w:hAnsi="Arial" w:cs="Arial"/>
              </w:rPr>
              <w:t xml:space="preserve">It develops good habits for monitoring </w:t>
            </w:r>
            <w:r w:rsidR="00BD199E">
              <w:rPr>
                <w:rFonts w:ascii="Arial" w:hAnsi="Arial" w:cs="Arial"/>
              </w:rPr>
              <w:t>markets and the economy when making good financial and business decisions.</w:t>
            </w:r>
          </w:p>
          <w:p w14:paraId="5CEF2D32" w14:textId="0B57E01A" w:rsidR="00F36A82" w:rsidRDefault="00BD199E" w:rsidP="00BD199E">
            <w:pPr>
              <w:pStyle w:val="Standard"/>
              <w:spacing w:line="360" w:lineRule="auto"/>
              <w:ind w:left="360"/>
              <w:rPr>
                <w:rFonts w:ascii="Arial" w:hAnsi="Arial" w:cs="Arial"/>
              </w:rPr>
            </w:pPr>
            <w:r>
              <w:rPr>
                <w:rFonts w:ascii="Arial" w:hAnsi="Arial" w:cs="Arial"/>
              </w:rPr>
              <w:t xml:space="preserve"> </w:t>
            </w:r>
          </w:p>
          <w:p w14:paraId="76232BFD" w14:textId="5813CEA2" w:rsidR="00EC7E07" w:rsidRDefault="00D1278F" w:rsidP="0060402C">
            <w:pPr>
              <w:pStyle w:val="Standard"/>
              <w:spacing w:line="360" w:lineRule="auto"/>
              <w:rPr>
                <w:rFonts w:ascii="Arial" w:hAnsi="Arial" w:cs="Arial"/>
              </w:rPr>
            </w:pPr>
            <w:r w:rsidRPr="00334DD0">
              <w:rPr>
                <w:rFonts w:ascii="Arial" w:hAnsi="Arial" w:cs="Arial"/>
                <w:b/>
              </w:rPr>
              <w:t>ii</w:t>
            </w:r>
            <w:r w:rsidR="0060402C" w:rsidRPr="00334DD0">
              <w:rPr>
                <w:rFonts w:ascii="Arial" w:hAnsi="Arial" w:cs="Arial"/>
                <w:b/>
              </w:rPr>
              <w:t>i</w:t>
            </w:r>
            <w:r w:rsidRPr="00334DD0">
              <w:rPr>
                <w:rFonts w:ascii="Arial" w:hAnsi="Arial" w:cs="Arial"/>
                <w:b/>
              </w:rPr>
              <w:t>.</w:t>
            </w:r>
            <w:r w:rsidR="0010093F" w:rsidRPr="00334DD0">
              <w:rPr>
                <w:rFonts w:ascii="Arial" w:hAnsi="Arial" w:cs="Arial"/>
                <w:b/>
              </w:rPr>
              <w:t xml:space="preserve"> </w:t>
            </w:r>
            <w:r w:rsidR="009F720C">
              <w:rPr>
                <w:rFonts w:ascii="Arial" w:hAnsi="Arial" w:cs="Arial"/>
                <w:b/>
              </w:rPr>
              <w:t xml:space="preserve"> </w:t>
            </w:r>
          </w:p>
          <w:p w14:paraId="00C1F11E" w14:textId="599F33C1" w:rsidR="00BD199E" w:rsidRDefault="00BD199E" w:rsidP="00BD199E">
            <w:pPr>
              <w:pStyle w:val="Standard"/>
              <w:spacing w:line="360" w:lineRule="auto"/>
              <w:jc w:val="both"/>
              <w:rPr>
                <w:rFonts w:ascii="Arial" w:hAnsi="Arial" w:cs="Arial"/>
              </w:rPr>
            </w:pPr>
            <w:r>
              <w:rPr>
                <w:rFonts w:ascii="Arial" w:hAnsi="Arial" w:cs="Arial"/>
              </w:rPr>
              <w:t>Liquidity risk is the risk that a company will not be able to fund it’s short term obligations, which includes not having enough money available to pay wages, rent or suppliers.  This can be not having the ability to convert assets into cash</w:t>
            </w:r>
            <w:r w:rsidR="00817458">
              <w:rPr>
                <w:rFonts w:ascii="Arial" w:hAnsi="Arial" w:cs="Arial"/>
              </w:rPr>
              <w:t xml:space="preserve"> or being able to borrow money to meet their financial responsibilities.   Reasons for liquidity issues can be that other companies that owe the business money may not have paid leaving them in a difficult situation.</w:t>
            </w:r>
            <w:r w:rsidR="00F33D91">
              <w:rPr>
                <w:rFonts w:ascii="Arial" w:hAnsi="Arial" w:cs="Arial"/>
              </w:rPr>
              <w:t xml:space="preserve">  A simplistic way to determine the liquidity state of a company is:</w:t>
            </w:r>
          </w:p>
          <w:p w14:paraId="4B9149BB" w14:textId="236CE3A6" w:rsidR="00F33D91" w:rsidRDefault="00F33D91" w:rsidP="00BD199E">
            <w:pPr>
              <w:pStyle w:val="Standard"/>
              <w:spacing w:line="360" w:lineRule="auto"/>
              <w:jc w:val="both"/>
              <w:rPr>
                <w:rFonts w:ascii="Arial" w:hAnsi="Arial" w:cs="Arial"/>
              </w:rPr>
            </w:pPr>
          </w:p>
          <w:p w14:paraId="23662109" w14:textId="4E8783A6" w:rsidR="00F33D91" w:rsidRDefault="00F33D91" w:rsidP="00BD199E">
            <w:pPr>
              <w:pStyle w:val="Standard"/>
              <w:spacing w:line="360" w:lineRule="auto"/>
              <w:jc w:val="both"/>
              <w:rPr>
                <w:rFonts w:ascii="Arial" w:hAnsi="Arial" w:cs="Arial"/>
              </w:rPr>
            </w:pPr>
            <w:r w:rsidRPr="00F33D91">
              <w:rPr>
                <w:rFonts w:ascii="Arial" w:hAnsi="Arial" w:cs="Arial"/>
              </w:rPr>
              <w:lastRenderedPageBreak/>
              <w:t>Current ratio =</w:t>
            </w:r>
            <w:r>
              <w:rPr>
                <w:rFonts w:ascii="Arial" w:hAnsi="Arial" w:cs="Arial"/>
              </w:rPr>
              <w:t xml:space="preserve"> </w:t>
            </w:r>
            <w:r w:rsidRPr="00F33D91">
              <w:rPr>
                <w:rFonts w:ascii="Arial" w:hAnsi="Arial" w:cs="Arial"/>
              </w:rPr>
              <w:t xml:space="preserve">Current assets </w:t>
            </w:r>
            <w:r>
              <w:rPr>
                <w:rFonts w:ascii="Arial" w:hAnsi="Arial" w:cs="Arial"/>
              </w:rPr>
              <w:t xml:space="preserve">/ </w:t>
            </w:r>
            <w:r w:rsidRPr="00F33D91">
              <w:rPr>
                <w:rFonts w:ascii="Arial" w:hAnsi="Arial" w:cs="Arial"/>
              </w:rPr>
              <w:t>Current liabilities</w:t>
            </w:r>
          </w:p>
          <w:p w14:paraId="18F25328" w14:textId="77777777" w:rsidR="00F33D91" w:rsidRDefault="00F33D91" w:rsidP="00BD199E">
            <w:pPr>
              <w:pStyle w:val="Standard"/>
              <w:spacing w:line="360" w:lineRule="auto"/>
              <w:jc w:val="both"/>
              <w:rPr>
                <w:rFonts w:ascii="Arial" w:hAnsi="Arial" w:cs="Arial"/>
              </w:rPr>
            </w:pPr>
          </w:p>
          <w:p w14:paraId="28E7FD7B" w14:textId="5EF2B1FD" w:rsidR="00736B7A" w:rsidRDefault="00AD05F5" w:rsidP="00522282">
            <w:pPr>
              <w:pStyle w:val="Standard"/>
              <w:spacing w:line="360" w:lineRule="auto"/>
              <w:rPr>
                <w:rFonts w:ascii="Arial" w:hAnsi="Arial" w:cs="Arial"/>
                <w:highlight w:val="yellow"/>
              </w:rPr>
            </w:pPr>
            <w:r w:rsidRPr="00154B3B">
              <w:rPr>
                <w:rFonts w:ascii="Arial" w:hAnsi="Arial" w:cs="Arial"/>
                <w:b/>
              </w:rPr>
              <w:t xml:space="preserve">Q2. </w:t>
            </w:r>
            <w:r w:rsidR="00154B3B" w:rsidRPr="00154B3B">
              <w:rPr>
                <w:rFonts w:ascii="Arial" w:hAnsi="Arial" w:cs="Arial"/>
                <w:b/>
              </w:rPr>
              <w:t xml:space="preserve">  </w:t>
            </w:r>
          </w:p>
          <w:p w14:paraId="1A1F39BC" w14:textId="6E56AC98" w:rsidR="009C0115" w:rsidRDefault="009C0115" w:rsidP="00522282">
            <w:pPr>
              <w:pStyle w:val="Standard"/>
              <w:spacing w:line="360" w:lineRule="auto"/>
              <w:rPr>
                <w:rFonts w:ascii="Arial" w:hAnsi="Arial" w:cs="Arial"/>
              </w:rPr>
            </w:pPr>
            <w:r w:rsidRPr="009C0115">
              <w:rPr>
                <w:rFonts w:ascii="Arial" w:hAnsi="Arial" w:cs="Arial"/>
              </w:rPr>
              <w:t>Both</w:t>
            </w:r>
            <w:r>
              <w:rPr>
                <w:rFonts w:ascii="Arial" w:hAnsi="Arial" w:cs="Arial"/>
              </w:rPr>
              <w:t xml:space="preserve"> liquidity and credit risk refer to the amount of money that is available to a company, liquidity being what is available (liquidated) and credit</w:t>
            </w:r>
            <w:r w:rsidR="00A010D2">
              <w:rPr>
                <w:rFonts w:ascii="Arial" w:hAnsi="Arial" w:cs="Arial"/>
              </w:rPr>
              <w:t xml:space="preserve"> risk</w:t>
            </w:r>
            <w:r>
              <w:rPr>
                <w:rFonts w:ascii="Arial" w:hAnsi="Arial" w:cs="Arial"/>
              </w:rPr>
              <w:t xml:space="preserve"> being</w:t>
            </w:r>
            <w:r w:rsidR="00A010D2">
              <w:rPr>
                <w:rFonts w:ascii="Arial" w:hAnsi="Arial" w:cs="Arial"/>
              </w:rPr>
              <w:t xml:space="preserve"> the risk of debtors defaulting on their obligations</w:t>
            </w:r>
            <w:r>
              <w:rPr>
                <w:rFonts w:ascii="Arial" w:hAnsi="Arial" w:cs="Arial"/>
              </w:rPr>
              <w:t>.</w:t>
            </w:r>
          </w:p>
          <w:p w14:paraId="37E914B6" w14:textId="5D13E2DA" w:rsidR="009C0115" w:rsidRDefault="009C0115" w:rsidP="00522282">
            <w:pPr>
              <w:pStyle w:val="Standard"/>
              <w:spacing w:line="360" w:lineRule="auto"/>
              <w:rPr>
                <w:rFonts w:ascii="Arial" w:hAnsi="Arial" w:cs="Arial"/>
                <w:b/>
              </w:rPr>
            </w:pPr>
          </w:p>
          <w:p w14:paraId="4E3CC1FB" w14:textId="79B4E625" w:rsidR="00056269" w:rsidRDefault="00A010D2" w:rsidP="00A010D2">
            <w:pPr>
              <w:pStyle w:val="Standard"/>
              <w:spacing w:line="360" w:lineRule="auto"/>
              <w:rPr>
                <w:rFonts w:ascii="Arial" w:hAnsi="Arial" w:cs="Arial"/>
              </w:rPr>
            </w:pPr>
            <w:r>
              <w:rPr>
                <w:rFonts w:ascii="Arial" w:hAnsi="Arial" w:cs="Arial"/>
              </w:rPr>
              <w:t xml:space="preserve">Credit risk is the most significant of all of the risks and it generally refers to where a customer defaults on a debt or fail to pay an invoice.  It is difficult to predict the ability to recover on any defaulted payments, but a credit risk is determined by the </w:t>
            </w:r>
            <w:r w:rsidR="009C0115">
              <w:rPr>
                <w:rFonts w:ascii="Arial" w:hAnsi="Arial" w:cs="Arial"/>
              </w:rPr>
              <w:t>three elements:</w:t>
            </w:r>
          </w:p>
          <w:p w14:paraId="2BEE184C" w14:textId="77777777" w:rsidR="00A010D2" w:rsidRDefault="00A010D2" w:rsidP="00A010D2">
            <w:pPr>
              <w:pStyle w:val="Standard"/>
              <w:spacing w:line="360" w:lineRule="auto"/>
              <w:rPr>
                <w:rFonts w:ascii="Arial" w:hAnsi="Arial" w:cs="Arial"/>
              </w:rPr>
            </w:pPr>
          </w:p>
          <w:p w14:paraId="501571EA" w14:textId="77777777" w:rsidR="00312C30" w:rsidRDefault="009C0115" w:rsidP="00312C30">
            <w:pPr>
              <w:pStyle w:val="Standard"/>
              <w:numPr>
                <w:ilvl w:val="0"/>
                <w:numId w:val="43"/>
              </w:numPr>
              <w:spacing w:line="360" w:lineRule="auto"/>
              <w:rPr>
                <w:rFonts w:ascii="Arial" w:hAnsi="Arial" w:cs="Arial"/>
              </w:rPr>
            </w:pPr>
            <w:r w:rsidRPr="00E80417">
              <w:rPr>
                <w:rFonts w:ascii="Arial" w:hAnsi="Arial" w:cs="Arial"/>
                <w:b/>
              </w:rPr>
              <w:t>Default risk.</w:t>
            </w:r>
            <w:r w:rsidR="00993F7F">
              <w:rPr>
                <w:rFonts w:ascii="Arial" w:hAnsi="Arial" w:cs="Arial"/>
              </w:rPr>
              <w:t xml:space="preserve"> </w:t>
            </w:r>
            <w:r w:rsidR="00985AE1">
              <w:rPr>
                <w:rFonts w:ascii="Arial" w:hAnsi="Arial" w:cs="Arial"/>
              </w:rPr>
              <w:t xml:space="preserve">The default risk is the possibility of a default occurring.  </w:t>
            </w:r>
            <w:r w:rsidR="00312C30">
              <w:rPr>
                <w:rFonts w:ascii="Arial" w:hAnsi="Arial" w:cs="Arial"/>
              </w:rPr>
              <w:t>The type of default are missing a payment, economic default, breaking a covenant and entering into a legal procedure.</w:t>
            </w:r>
          </w:p>
          <w:p w14:paraId="74584763" w14:textId="77777777" w:rsidR="00312C30" w:rsidRPr="00312C30" w:rsidRDefault="00312C30" w:rsidP="00312C30">
            <w:pPr>
              <w:pStyle w:val="Standard"/>
              <w:spacing w:line="360" w:lineRule="auto"/>
              <w:ind w:left="360"/>
              <w:rPr>
                <w:rFonts w:ascii="Arial" w:hAnsi="Arial" w:cs="Arial"/>
              </w:rPr>
            </w:pPr>
          </w:p>
          <w:p w14:paraId="76DA7CBA" w14:textId="24C3531D" w:rsidR="00985AE1" w:rsidRDefault="009C0115" w:rsidP="00312C30">
            <w:pPr>
              <w:pStyle w:val="Standard"/>
              <w:numPr>
                <w:ilvl w:val="0"/>
                <w:numId w:val="43"/>
              </w:numPr>
              <w:spacing w:line="360" w:lineRule="auto"/>
              <w:rPr>
                <w:rFonts w:ascii="Arial" w:hAnsi="Arial" w:cs="Arial"/>
              </w:rPr>
            </w:pPr>
            <w:r w:rsidRPr="00985AE1">
              <w:rPr>
                <w:rFonts w:ascii="Arial" w:hAnsi="Arial" w:cs="Arial"/>
                <w:b/>
              </w:rPr>
              <w:t>Exposure risk.</w:t>
            </w:r>
            <w:r w:rsidR="00985AE1">
              <w:rPr>
                <w:rFonts w:ascii="Arial" w:hAnsi="Arial" w:cs="Arial"/>
              </w:rPr>
              <w:t xml:space="preserve">  The exposure risk is the amount of uncertainty which relates to future payments.  The exposure risk is dependent on repayment schedules i.e. duration, amount and securities.  Before lending money or providing a service to another party, it is normal to determine their liquidity state to understand their ability to repay the money.  This therefore reduces the exposure risk.</w:t>
            </w:r>
          </w:p>
          <w:p w14:paraId="53F1F7CC" w14:textId="77777777" w:rsidR="00985AE1" w:rsidRDefault="00985AE1" w:rsidP="00985AE1">
            <w:pPr>
              <w:pStyle w:val="Standard"/>
              <w:spacing w:line="360" w:lineRule="auto"/>
              <w:ind w:left="360"/>
              <w:rPr>
                <w:rFonts w:ascii="Arial" w:hAnsi="Arial" w:cs="Arial"/>
              </w:rPr>
            </w:pPr>
          </w:p>
          <w:p w14:paraId="57368298" w14:textId="4412011A" w:rsidR="009C0115" w:rsidRDefault="009C0115" w:rsidP="009C0115">
            <w:pPr>
              <w:pStyle w:val="Standard"/>
              <w:numPr>
                <w:ilvl w:val="0"/>
                <w:numId w:val="43"/>
              </w:numPr>
              <w:spacing w:line="360" w:lineRule="auto"/>
              <w:rPr>
                <w:rFonts w:ascii="Arial" w:hAnsi="Arial" w:cs="Arial"/>
              </w:rPr>
            </w:pPr>
            <w:r w:rsidRPr="00985AE1">
              <w:rPr>
                <w:rFonts w:ascii="Arial" w:hAnsi="Arial" w:cs="Arial"/>
                <w:b/>
              </w:rPr>
              <w:t>Recovery risk.</w:t>
            </w:r>
            <w:r w:rsidR="00985AE1">
              <w:rPr>
                <w:rFonts w:ascii="Arial" w:hAnsi="Arial" w:cs="Arial"/>
              </w:rPr>
              <w:t xml:space="preserve">  The recovery risk refers to the insecurity of recovering any outstanding depts.  It will be dependent on the type of defaults and may need an amount of renegotiation with the borrower and possible legal proceedings may be required.</w:t>
            </w:r>
          </w:p>
          <w:p w14:paraId="3876408C" w14:textId="2B971466" w:rsidR="009C0115" w:rsidRDefault="009C0115" w:rsidP="009C0115">
            <w:pPr>
              <w:pStyle w:val="Standard"/>
              <w:spacing w:line="360" w:lineRule="auto"/>
              <w:rPr>
                <w:rFonts w:ascii="Arial" w:hAnsi="Arial" w:cs="Arial"/>
              </w:rPr>
            </w:pPr>
          </w:p>
          <w:p w14:paraId="5DF66937" w14:textId="16F671FD" w:rsidR="009C0115" w:rsidRDefault="00993F7F" w:rsidP="009C0115">
            <w:pPr>
              <w:pStyle w:val="Standard"/>
              <w:spacing w:line="360" w:lineRule="auto"/>
              <w:rPr>
                <w:rFonts w:ascii="Arial" w:hAnsi="Arial" w:cs="Arial"/>
              </w:rPr>
            </w:pPr>
            <w:r>
              <w:rPr>
                <w:rFonts w:ascii="Arial" w:hAnsi="Arial" w:cs="Arial"/>
              </w:rPr>
              <w:t xml:space="preserve">Credit </w:t>
            </w:r>
            <w:r w:rsidR="00E80417">
              <w:rPr>
                <w:rFonts w:ascii="Arial" w:hAnsi="Arial" w:cs="Arial"/>
              </w:rPr>
              <w:t xml:space="preserve">Risk </w:t>
            </w:r>
            <w:r w:rsidRPr="00993F7F">
              <w:rPr>
                <w:rFonts w:ascii="Arial" w:hAnsi="Arial" w:cs="Arial"/>
              </w:rPr>
              <w:t>Loss = exposure × default × severity</w:t>
            </w:r>
          </w:p>
          <w:p w14:paraId="1EA43A4A" w14:textId="77777777" w:rsidR="009C0115" w:rsidRPr="00056269" w:rsidRDefault="009C0115" w:rsidP="009C0115">
            <w:pPr>
              <w:pStyle w:val="Standard"/>
              <w:spacing w:line="360" w:lineRule="auto"/>
              <w:rPr>
                <w:rFonts w:ascii="Arial" w:hAnsi="Arial" w:cs="Arial"/>
              </w:rPr>
            </w:pPr>
          </w:p>
          <w:p w14:paraId="413178B5" w14:textId="29A061CA" w:rsidR="001953C6" w:rsidRPr="00582110" w:rsidRDefault="008B7C12" w:rsidP="008B7C12">
            <w:pPr>
              <w:pStyle w:val="Standard"/>
              <w:spacing w:line="360" w:lineRule="auto"/>
              <w:rPr>
                <w:rFonts w:ascii="Arial" w:hAnsi="Arial" w:cs="Arial"/>
              </w:rPr>
            </w:pPr>
            <w:r w:rsidRPr="00154B3B">
              <w:rPr>
                <w:rFonts w:ascii="Arial" w:hAnsi="Arial" w:cs="Arial"/>
                <w:b/>
              </w:rPr>
              <w:t>Q3</w:t>
            </w:r>
            <w:r w:rsidR="002A785F">
              <w:rPr>
                <w:rFonts w:ascii="Arial" w:hAnsi="Arial" w:cs="Arial"/>
                <w:b/>
              </w:rPr>
              <w:t>.</w:t>
            </w:r>
            <w:r w:rsidR="00154B3B" w:rsidRPr="00582110">
              <w:rPr>
                <w:rFonts w:ascii="Arial" w:hAnsi="Arial" w:cs="Arial"/>
              </w:rPr>
              <w:t xml:space="preserve">   </w:t>
            </w:r>
          </w:p>
          <w:p w14:paraId="248C7730" w14:textId="77777777" w:rsidR="005F50FB" w:rsidRDefault="008255E4" w:rsidP="003B018A">
            <w:pPr>
              <w:pStyle w:val="Standard"/>
              <w:spacing w:line="360" w:lineRule="auto"/>
              <w:rPr>
                <w:rFonts w:ascii="Arial" w:hAnsi="Arial" w:cs="Arial"/>
              </w:rPr>
            </w:pPr>
            <w:r w:rsidRPr="008255E4">
              <w:rPr>
                <w:rFonts w:ascii="Arial" w:hAnsi="Arial" w:cs="Arial"/>
              </w:rPr>
              <w:t xml:space="preserve">Currency risk is the </w:t>
            </w:r>
            <w:r>
              <w:rPr>
                <w:rFonts w:ascii="Arial" w:hAnsi="Arial" w:cs="Arial"/>
              </w:rPr>
              <w:t xml:space="preserve">problems associated with the flow of cash from overseas that is adversely </w:t>
            </w:r>
            <w:r w:rsidR="007C4AAC">
              <w:rPr>
                <w:rFonts w:ascii="Arial" w:hAnsi="Arial" w:cs="Arial"/>
              </w:rPr>
              <w:t xml:space="preserve">affected from fluctuations in the exchange rate.  This can be either positive or negative depending on if you are importing or exporting from the UK.  </w:t>
            </w:r>
            <w:r w:rsidR="007C4AAC">
              <w:rPr>
                <w:rFonts w:ascii="Arial" w:hAnsi="Arial" w:cs="Arial"/>
              </w:rPr>
              <w:lastRenderedPageBreak/>
              <w:t xml:space="preserve">Depending on the type of business will depend on the exposure to the risk that the business is </w:t>
            </w:r>
            <w:r w:rsidR="003B018A">
              <w:rPr>
                <w:rFonts w:ascii="Arial" w:hAnsi="Arial" w:cs="Arial"/>
              </w:rPr>
              <w:t>open to; e.g. raising finance from overseas, importing or exporting goods or services and investing overseas.  A change in the exchange rate can where significant amounts of money are involved can be disastrous for an organisation as a minor percentage change will risk a lot of money.</w:t>
            </w:r>
          </w:p>
          <w:p w14:paraId="36135B5A" w14:textId="77777777" w:rsidR="00CD0B42" w:rsidRDefault="00CD0B42" w:rsidP="003B018A">
            <w:pPr>
              <w:pStyle w:val="Standard"/>
              <w:spacing w:line="360" w:lineRule="auto"/>
              <w:rPr>
                <w:rFonts w:ascii="Arial" w:hAnsi="Arial" w:cs="Arial"/>
              </w:rPr>
            </w:pPr>
          </w:p>
          <w:p w14:paraId="53C75F4D" w14:textId="77777777" w:rsidR="00CD0B42" w:rsidRDefault="00CD0B42" w:rsidP="003B018A">
            <w:pPr>
              <w:pStyle w:val="Standard"/>
              <w:spacing w:line="360" w:lineRule="auto"/>
              <w:rPr>
                <w:rFonts w:ascii="Arial" w:hAnsi="Arial" w:cs="Arial"/>
              </w:rPr>
            </w:pPr>
            <w:r>
              <w:rPr>
                <w:rFonts w:ascii="Arial" w:hAnsi="Arial" w:cs="Arial"/>
              </w:rPr>
              <w:t xml:space="preserve">Ways to </w:t>
            </w:r>
            <w:r w:rsidR="005F50FB">
              <w:rPr>
                <w:rFonts w:ascii="Arial" w:hAnsi="Arial" w:cs="Arial"/>
              </w:rPr>
              <w:t>minimise the risk to a compan</w:t>
            </w:r>
            <w:r>
              <w:rPr>
                <w:rFonts w:ascii="Arial" w:hAnsi="Arial" w:cs="Arial"/>
              </w:rPr>
              <w:t>y from currency risk are:</w:t>
            </w:r>
          </w:p>
          <w:p w14:paraId="69D41D56" w14:textId="77777777" w:rsidR="00CD0B42" w:rsidRDefault="00CD0B42" w:rsidP="003B018A">
            <w:pPr>
              <w:pStyle w:val="Standard"/>
              <w:spacing w:line="360" w:lineRule="auto"/>
              <w:rPr>
                <w:rFonts w:ascii="Arial" w:hAnsi="Arial" w:cs="Arial"/>
              </w:rPr>
            </w:pPr>
          </w:p>
          <w:p w14:paraId="2B7645D2" w14:textId="7F32053A" w:rsidR="003B018A" w:rsidRPr="00582110" w:rsidRDefault="00CD0B42" w:rsidP="00CD0B42">
            <w:pPr>
              <w:pStyle w:val="Standard"/>
              <w:numPr>
                <w:ilvl w:val="0"/>
                <w:numId w:val="44"/>
              </w:numPr>
              <w:spacing w:line="360" w:lineRule="auto"/>
              <w:rPr>
                <w:rFonts w:ascii="Arial" w:hAnsi="Arial" w:cs="Arial"/>
              </w:rPr>
            </w:pPr>
            <w:r w:rsidRPr="00497CA0">
              <w:rPr>
                <w:rFonts w:ascii="Arial" w:hAnsi="Arial" w:cs="Arial"/>
                <w:b/>
              </w:rPr>
              <w:t>Hedge funds.</w:t>
            </w:r>
            <w:r w:rsidR="00497CA0">
              <w:rPr>
                <w:rFonts w:ascii="Arial" w:hAnsi="Arial" w:cs="Arial"/>
              </w:rPr>
              <w:t xml:space="preserve">  Spreading the currency across a number of different areas will reduce the risk of the reduction in one currency.</w:t>
            </w:r>
          </w:p>
          <w:p w14:paraId="7D876FD5" w14:textId="001CB474" w:rsidR="00CD0B42" w:rsidRPr="00582110" w:rsidRDefault="00CD0B42" w:rsidP="00CD0B42">
            <w:pPr>
              <w:pStyle w:val="Standard"/>
              <w:numPr>
                <w:ilvl w:val="0"/>
                <w:numId w:val="44"/>
              </w:numPr>
              <w:spacing w:line="360" w:lineRule="auto"/>
              <w:rPr>
                <w:rFonts w:ascii="Arial" w:hAnsi="Arial" w:cs="Arial"/>
              </w:rPr>
            </w:pPr>
            <w:r w:rsidRPr="00497CA0">
              <w:rPr>
                <w:rFonts w:ascii="Arial" w:hAnsi="Arial" w:cs="Arial"/>
                <w:b/>
              </w:rPr>
              <w:t>Insurance.</w:t>
            </w:r>
            <w:r w:rsidR="00497CA0">
              <w:rPr>
                <w:rFonts w:ascii="Arial" w:hAnsi="Arial" w:cs="Arial"/>
              </w:rPr>
              <w:t xml:space="preserve">  Getting insurance against the loss will reduce the loss, however there will be a loss due to the premiums. </w:t>
            </w:r>
          </w:p>
          <w:p w14:paraId="514E32B2" w14:textId="36864096" w:rsidR="00CD0B42" w:rsidRPr="00582110" w:rsidRDefault="00CD0B42" w:rsidP="00CD0B42">
            <w:pPr>
              <w:pStyle w:val="Standard"/>
              <w:numPr>
                <w:ilvl w:val="0"/>
                <w:numId w:val="44"/>
              </w:numPr>
              <w:spacing w:line="360" w:lineRule="auto"/>
              <w:rPr>
                <w:rFonts w:ascii="Arial" w:hAnsi="Arial" w:cs="Arial"/>
              </w:rPr>
            </w:pPr>
            <w:r w:rsidRPr="00497CA0">
              <w:rPr>
                <w:rFonts w:ascii="Arial" w:hAnsi="Arial" w:cs="Arial"/>
                <w:b/>
              </w:rPr>
              <w:t xml:space="preserve">Lock in to an exchange rate </w:t>
            </w:r>
            <w:r w:rsidR="00582110" w:rsidRPr="00497CA0">
              <w:rPr>
                <w:rFonts w:ascii="Arial" w:hAnsi="Arial" w:cs="Arial"/>
                <w:b/>
              </w:rPr>
              <w:t>for a period of time</w:t>
            </w:r>
            <w:r w:rsidR="00582110" w:rsidRPr="00582110">
              <w:rPr>
                <w:rFonts w:ascii="Arial" w:hAnsi="Arial" w:cs="Arial"/>
              </w:rPr>
              <w:t>.</w:t>
            </w:r>
            <w:r w:rsidR="00497CA0">
              <w:rPr>
                <w:rFonts w:ascii="Arial" w:hAnsi="Arial" w:cs="Arial"/>
              </w:rPr>
              <w:t xml:space="preserve">  It is possible to lock into exchange rates, however this is usually a worse rate and you do not make any money if the exchange rate rises in your favour.</w:t>
            </w:r>
          </w:p>
          <w:p w14:paraId="11D95CAB" w14:textId="2937D3FB" w:rsidR="00582110" w:rsidRPr="00582110" w:rsidRDefault="00497CA0" w:rsidP="00582110">
            <w:pPr>
              <w:pStyle w:val="Standard"/>
              <w:numPr>
                <w:ilvl w:val="0"/>
                <w:numId w:val="44"/>
              </w:numPr>
              <w:spacing w:line="360" w:lineRule="auto"/>
              <w:rPr>
                <w:rFonts w:ascii="Arial" w:hAnsi="Arial" w:cs="Arial"/>
              </w:rPr>
            </w:pPr>
            <w:r w:rsidRPr="00497CA0">
              <w:rPr>
                <w:rFonts w:ascii="Arial" w:hAnsi="Arial" w:cs="Arial"/>
                <w:b/>
              </w:rPr>
              <w:t>Risk assess and monitor.</w:t>
            </w:r>
            <w:r>
              <w:rPr>
                <w:rFonts w:ascii="Arial" w:hAnsi="Arial" w:cs="Arial"/>
              </w:rPr>
              <w:t xml:space="preserve">  </w:t>
            </w:r>
            <w:r w:rsidR="00582110" w:rsidRPr="00582110">
              <w:rPr>
                <w:rFonts w:ascii="Arial" w:hAnsi="Arial" w:cs="Arial"/>
              </w:rPr>
              <w:t>Identify the risk, understand the extent and magnitude, get a strategy and monitor.</w:t>
            </w:r>
          </w:p>
          <w:p w14:paraId="7E5CC705" w14:textId="1A9CF114" w:rsidR="00CD0B42" w:rsidRPr="00CD0B42" w:rsidRDefault="00582110" w:rsidP="00582110">
            <w:pPr>
              <w:pStyle w:val="Standard"/>
              <w:spacing w:line="360" w:lineRule="auto"/>
              <w:rPr>
                <w:rFonts w:ascii="Arial" w:hAnsi="Arial" w:cs="Arial"/>
                <w:highlight w:val="green"/>
              </w:rPr>
            </w:pPr>
            <w:r w:rsidRPr="00CD0B42">
              <w:rPr>
                <w:rFonts w:ascii="Arial" w:hAnsi="Arial" w:cs="Arial"/>
                <w:highlight w:val="green"/>
              </w:rPr>
              <w:t xml:space="preserve"> </w:t>
            </w:r>
          </w:p>
          <w:p w14:paraId="207EEEFE" w14:textId="02DB2F4F" w:rsidR="005D0209" w:rsidRDefault="005D0209" w:rsidP="005D0209">
            <w:pPr>
              <w:pStyle w:val="Standard"/>
              <w:spacing w:line="360" w:lineRule="auto"/>
              <w:rPr>
                <w:rFonts w:ascii="Arial" w:hAnsi="Arial" w:cs="Arial"/>
                <w:b/>
              </w:rPr>
            </w:pPr>
            <w:r>
              <w:rPr>
                <w:rFonts w:ascii="Arial" w:hAnsi="Arial" w:cs="Arial"/>
                <w:b/>
              </w:rPr>
              <w:t>Case Study.</w:t>
            </w:r>
          </w:p>
          <w:p w14:paraId="2D4498C2" w14:textId="3BA51FF8" w:rsidR="00993A05" w:rsidRPr="005C05F0" w:rsidRDefault="00993A05" w:rsidP="005D0209">
            <w:pPr>
              <w:pStyle w:val="Standard"/>
              <w:spacing w:line="360" w:lineRule="auto"/>
              <w:rPr>
                <w:rFonts w:ascii="Arial" w:hAnsi="Arial" w:cs="Arial"/>
                <w:b/>
              </w:rPr>
            </w:pPr>
            <w:r w:rsidRPr="005C05F0">
              <w:rPr>
                <w:rFonts w:ascii="Arial" w:hAnsi="Arial" w:cs="Arial"/>
                <w:b/>
              </w:rPr>
              <w:t xml:space="preserve">1. </w:t>
            </w:r>
          </w:p>
          <w:p w14:paraId="09DF9D8D" w14:textId="52555A05" w:rsidR="005C05F0" w:rsidRDefault="005C05F0" w:rsidP="005D0209">
            <w:pPr>
              <w:pStyle w:val="Standard"/>
              <w:spacing w:line="360" w:lineRule="auto"/>
              <w:rPr>
                <w:rFonts w:ascii="Arial" w:hAnsi="Arial" w:cs="Arial"/>
              </w:rPr>
            </w:pPr>
            <w:r>
              <w:rPr>
                <w:rFonts w:ascii="Arial" w:hAnsi="Arial" w:cs="Arial"/>
              </w:rPr>
              <w:t>Current assets = $3.5M (excluding trade debtors) + $100k (Trade Debtors)</w:t>
            </w:r>
          </w:p>
          <w:p w14:paraId="73B43B74" w14:textId="77777777" w:rsidR="005C05F0" w:rsidRDefault="005C05F0" w:rsidP="005D0209">
            <w:pPr>
              <w:pStyle w:val="Standard"/>
              <w:spacing w:line="360" w:lineRule="auto"/>
              <w:rPr>
                <w:rFonts w:ascii="Arial" w:hAnsi="Arial" w:cs="Arial"/>
              </w:rPr>
            </w:pPr>
            <w:r>
              <w:rPr>
                <w:rFonts w:ascii="Arial" w:hAnsi="Arial" w:cs="Arial"/>
              </w:rPr>
              <w:t>Current assets = $3.6M</w:t>
            </w:r>
          </w:p>
          <w:p w14:paraId="621A8D3C" w14:textId="77777777" w:rsidR="005C05F0" w:rsidRDefault="005C05F0" w:rsidP="005D0209">
            <w:pPr>
              <w:pStyle w:val="Standard"/>
              <w:spacing w:line="360" w:lineRule="auto"/>
              <w:rPr>
                <w:rFonts w:ascii="Arial" w:hAnsi="Arial" w:cs="Arial"/>
              </w:rPr>
            </w:pPr>
          </w:p>
          <w:p w14:paraId="48C85099" w14:textId="68DA9978" w:rsidR="00993A05" w:rsidRDefault="005C05F0" w:rsidP="005D0209">
            <w:pPr>
              <w:pStyle w:val="Standard"/>
              <w:spacing w:line="360" w:lineRule="auto"/>
              <w:rPr>
                <w:rFonts w:ascii="Arial" w:hAnsi="Arial" w:cs="Arial"/>
              </w:rPr>
            </w:pPr>
            <w:r>
              <w:rPr>
                <w:rFonts w:ascii="Arial" w:hAnsi="Arial" w:cs="Arial"/>
              </w:rPr>
              <w:t xml:space="preserve">Current liabilities = $2.8M (excluding trade creditors) + $1.2M (Trade Creditors) </w:t>
            </w:r>
          </w:p>
          <w:p w14:paraId="446DF2D2" w14:textId="5A4AC9D1" w:rsidR="005C05F0" w:rsidRDefault="005C05F0" w:rsidP="005D0209">
            <w:pPr>
              <w:pStyle w:val="Standard"/>
              <w:spacing w:line="360" w:lineRule="auto"/>
              <w:rPr>
                <w:rFonts w:ascii="Arial" w:hAnsi="Arial" w:cs="Arial"/>
              </w:rPr>
            </w:pPr>
            <w:r>
              <w:rPr>
                <w:rFonts w:ascii="Arial" w:hAnsi="Arial" w:cs="Arial"/>
              </w:rPr>
              <w:t>Current liabilities = $4.0M</w:t>
            </w:r>
          </w:p>
          <w:p w14:paraId="022D3A82" w14:textId="77777777" w:rsidR="005C05F0" w:rsidRDefault="005C05F0" w:rsidP="005D0209">
            <w:pPr>
              <w:pStyle w:val="Standard"/>
              <w:spacing w:line="360" w:lineRule="auto"/>
              <w:rPr>
                <w:rFonts w:ascii="Arial" w:hAnsi="Arial" w:cs="Arial"/>
              </w:rPr>
            </w:pPr>
          </w:p>
          <w:p w14:paraId="2DB2AA97" w14:textId="1C2A5011" w:rsidR="00993A05" w:rsidRDefault="00993A05" w:rsidP="005D0209">
            <w:pPr>
              <w:pStyle w:val="Standard"/>
              <w:spacing w:line="360" w:lineRule="auto"/>
              <w:rPr>
                <w:rFonts w:ascii="Arial" w:hAnsi="Arial" w:cs="Arial"/>
              </w:rPr>
            </w:pPr>
            <w:r w:rsidRPr="00993A05">
              <w:rPr>
                <w:rFonts w:ascii="Arial" w:hAnsi="Arial" w:cs="Arial"/>
              </w:rPr>
              <w:t>Current ratio =</w:t>
            </w:r>
            <w:r>
              <w:rPr>
                <w:rFonts w:ascii="Arial" w:hAnsi="Arial" w:cs="Arial"/>
              </w:rPr>
              <w:t xml:space="preserve"> </w:t>
            </w:r>
            <w:r w:rsidRPr="00993A05">
              <w:rPr>
                <w:rFonts w:ascii="Arial" w:hAnsi="Arial" w:cs="Arial"/>
              </w:rPr>
              <w:t>Current assets</w:t>
            </w:r>
            <w:r>
              <w:rPr>
                <w:rFonts w:ascii="Arial" w:hAnsi="Arial" w:cs="Arial"/>
              </w:rPr>
              <w:t xml:space="preserve"> /</w:t>
            </w:r>
            <w:r w:rsidRPr="00993A05">
              <w:rPr>
                <w:rFonts w:ascii="Arial" w:hAnsi="Arial" w:cs="Arial"/>
              </w:rPr>
              <w:t xml:space="preserve"> Current liabilities</w:t>
            </w:r>
          </w:p>
          <w:p w14:paraId="1E4E508E" w14:textId="24CB2BCB" w:rsidR="005C05F0" w:rsidRDefault="005C05F0" w:rsidP="005D0209">
            <w:pPr>
              <w:pStyle w:val="Standard"/>
              <w:spacing w:line="360" w:lineRule="auto"/>
              <w:rPr>
                <w:rFonts w:ascii="Arial" w:hAnsi="Arial" w:cs="Arial"/>
              </w:rPr>
            </w:pPr>
            <w:r>
              <w:rPr>
                <w:rFonts w:ascii="Arial" w:hAnsi="Arial" w:cs="Arial"/>
              </w:rPr>
              <w:t>Current ratio = $3.6M / $4.0M</w:t>
            </w:r>
          </w:p>
          <w:p w14:paraId="215BC5F1" w14:textId="34B7FDDC" w:rsidR="005C05F0" w:rsidRPr="00993A05" w:rsidRDefault="005C05F0" w:rsidP="005D0209">
            <w:pPr>
              <w:pStyle w:val="Standard"/>
              <w:spacing w:line="360" w:lineRule="auto"/>
              <w:rPr>
                <w:rFonts w:ascii="Arial" w:hAnsi="Arial" w:cs="Arial"/>
              </w:rPr>
            </w:pPr>
            <w:r>
              <w:rPr>
                <w:rFonts w:ascii="Arial" w:hAnsi="Arial" w:cs="Arial"/>
              </w:rPr>
              <w:t>Current ratio = 0.9</w:t>
            </w:r>
          </w:p>
          <w:p w14:paraId="55EB4FA3" w14:textId="3EE9DE1B" w:rsidR="00993A05" w:rsidRDefault="00993A05" w:rsidP="005D0209">
            <w:pPr>
              <w:pStyle w:val="Standard"/>
              <w:spacing w:line="360" w:lineRule="auto"/>
              <w:rPr>
                <w:rFonts w:ascii="Arial" w:hAnsi="Arial" w:cs="Arial"/>
                <w:b/>
              </w:rPr>
            </w:pPr>
          </w:p>
          <w:p w14:paraId="2CFA80DC" w14:textId="212E439A" w:rsidR="007E7D4F" w:rsidRDefault="007E7D4F" w:rsidP="005D0209">
            <w:pPr>
              <w:pStyle w:val="Standard"/>
              <w:spacing w:line="360" w:lineRule="auto"/>
              <w:rPr>
                <w:rFonts w:ascii="Arial" w:hAnsi="Arial" w:cs="Arial"/>
                <w:b/>
              </w:rPr>
            </w:pPr>
          </w:p>
          <w:p w14:paraId="06E42FF5" w14:textId="7B1088A4" w:rsidR="007E7D4F" w:rsidRDefault="007E7D4F" w:rsidP="005D0209">
            <w:pPr>
              <w:pStyle w:val="Standard"/>
              <w:spacing w:line="360" w:lineRule="auto"/>
              <w:rPr>
                <w:rFonts w:ascii="Arial" w:hAnsi="Arial" w:cs="Arial"/>
                <w:b/>
              </w:rPr>
            </w:pPr>
          </w:p>
          <w:p w14:paraId="4456F616" w14:textId="77777777" w:rsidR="007E7D4F" w:rsidRDefault="007E7D4F" w:rsidP="005D0209">
            <w:pPr>
              <w:pStyle w:val="Standard"/>
              <w:spacing w:line="360" w:lineRule="auto"/>
              <w:rPr>
                <w:rFonts w:ascii="Arial" w:hAnsi="Arial" w:cs="Arial"/>
                <w:b/>
              </w:rPr>
            </w:pPr>
          </w:p>
          <w:p w14:paraId="3BBC665B" w14:textId="7911E778" w:rsidR="005D0209" w:rsidRPr="007E7D4F" w:rsidRDefault="005D0209" w:rsidP="005D0209">
            <w:pPr>
              <w:pStyle w:val="Standard"/>
              <w:spacing w:line="360" w:lineRule="auto"/>
              <w:rPr>
                <w:rFonts w:ascii="Arial" w:hAnsi="Arial" w:cs="Arial"/>
                <w:b/>
              </w:rPr>
            </w:pPr>
            <w:r w:rsidRPr="007E7D4F">
              <w:rPr>
                <w:rFonts w:ascii="Arial" w:hAnsi="Arial" w:cs="Arial"/>
                <w:b/>
              </w:rPr>
              <w:lastRenderedPageBreak/>
              <w:t xml:space="preserve">2. </w:t>
            </w:r>
          </w:p>
          <w:p w14:paraId="18607B72" w14:textId="70D5A1A0" w:rsidR="00D835D8" w:rsidRDefault="00214A8B" w:rsidP="005D0209">
            <w:pPr>
              <w:pStyle w:val="Standard"/>
              <w:spacing w:line="360" w:lineRule="auto"/>
              <w:rPr>
                <w:rFonts w:ascii="Arial" w:hAnsi="Arial" w:cs="Arial"/>
              </w:rPr>
            </w:pPr>
            <w:r>
              <w:rPr>
                <w:rFonts w:ascii="Arial" w:hAnsi="Arial" w:cs="Arial"/>
              </w:rPr>
              <w:t>Liquidity risk for a company is when a company does not have enough readily available funds to meet its financial obligations.  A simple equation to assist in deciding whether a company is healthy or not is the current ratio.</w:t>
            </w:r>
          </w:p>
          <w:p w14:paraId="4EA668B7" w14:textId="77777777" w:rsidR="00214A8B" w:rsidRDefault="00214A8B" w:rsidP="005D0209">
            <w:pPr>
              <w:pStyle w:val="Standard"/>
              <w:spacing w:line="360" w:lineRule="auto"/>
              <w:rPr>
                <w:rFonts w:ascii="Arial" w:hAnsi="Arial" w:cs="Arial"/>
              </w:rPr>
            </w:pPr>
          </w:p>
          <w:p w14:paraId="3413A60A" w14:textId="77777777" w:rsidR="00214A8B" w:rsidRDefault="00214A8B" w:rsidP="00214A8B">
            <w:pPr>
              <w:pStyle w:val="Standard"/>
              <w:spacing w:line="360" w:lineRule="auto"/>
              <w:rPr>
                <w:rFonts w:ascii="Arial" w:hAnsi="Arial" w:cs="Arial"/>
              </w:rPr>
            </w:pPr>
            <w:r w:rsidRPr="00993A05">
              <w:rPr>
                <w:rFonts w:ascii="Arial" w:hAnsi="Arial" w:cs="Arial"/>
              </w:rPr>
              <w:t>Current ratio =</w:t>
            </w:r>
            <w:r>
              <w:rPr>
                <w:rFonts w:ascii="Arial" w:hAnsi="Arial" w:cs="Arial"/>
              </w:rPr>
              <w:t xml:space="preserve"> </w:t>
            </w:r>
            <w:r w:rsidRPr="00993A05">
              <w:rPr>
                <w:rFonts w:ascii="Arial" w:hAnsi="Arial" w:cs="Arial"/>
              </w:rPr>
              <w:t>Current assets</w:t>
            </w:r>
            <w:r>
              <w:rPr>
                <w:rFonts w:ascii="Arial" w:hAnsi="Arial" w:cs="Arial"/>
              </w:rPr>
              <w:t xml:space="preserve"> /</w:t>
            </w:r>
            <w:r w:rsidRPr="00993A05">
              <w:rPr>
                <w:rFonts w:ascii="Arial" w:hAnsi="Arial" w:cs="Arial"/>
              </w:rPr>
              <w:t xml:space="preserve"> Current liabilities</w:t>
            </w:r>
          </w:p>
          <w:p w14:paraId="1179CEC1" w14:textId="610C1C68" w:rsidR="00214A8B" w:rsidRDefault="00214A8B" w:rsidP="005D0209">
            <w:pPr>
              <w:pStyle w:val="Standard"/>
              <w:spacing w:line="360" w:lineRule="auto"/>
              <w:rPr>
                <w:rFonts w:ascii="Arial" w:hAnsi="Arial" w:cs="Arial"/>
              </w:rPr>
            </w:pPr>
          </w:p>
          <w:p w14:paraId="28AA9926" w14:textId="21CEC9D6" w:rsidR="00214A8B" w:rsidRDefault="00214A8B" w:rsidP="005D0209">
            <w:pPr>
              <w:pStyle w:val="Standard"/>
              <w:spacing w:line="360" w:lineRule="auto"/>
              <w:rPr>
                <w:rFonts w:ascii="Arial" w:hAnsi="Arial" w:cs="Arial"/>
              </w:rPr>
            </w:pPr>
            <w:r>
              <w:rPr>
                <w:rFonts w:ascii="Arial" w:hAnsi="Arial" w:cs="Arial"/>
              </w:rPr>
              <w:t xml:space="preserve">From the calculations in part 1 the current ratio is less than 1 which means that the company’s liquidity is considered as less than healthy.  </w:t>
            </w:r>
          </w:p>
          <w:p w14:paraId="1521E439" w14:textId="503D0B24" w:rsidR="00214A8B" w:rsidRDefault="00214A8B" w:rsidP="005D0209">
            <w:pPr>
              <w:pStyle w:val="Standard"/>
              <w:spacing w:line="360" w:lineRule="auto"/>
              <w:rPr>
                <w:rFonts w:ascii="Arial" w:hAnsi="Arial" w:cs="Arial"/>
              </w:rPr>
            </w:pPr>
          </w:p>
          <w:p w14:paraId="50E132E7" w14:textId="4C0ABE68" w:rsidR="00214A8B" w:rsidRDefault="00214A8B" w:rsidP="005D0209">
            <w:pPr>
              <w:pStyle w:val="Standard"/>
              <w:spacing w:line="360" w:lineRule="auto"/>
              <w:rPr>
                <w:rFonts w:ascii="Arial" w:hAnsi="Arial" w:cs="Arial"/>
              </w:rPr>
            </w:pPr>
            <w:r>
              <w:rPr>
                <w:rFonts w:ascii="Arial" w:hAnsi="Arial" w:cs="Arial"/>
              </w:rPr>
              <w:t xml:space="preserve">For the planned store opening in the far east, it should be considered carefully in the </w:t>
            </w:r>
            <w:r w:rsidR="007E7D4F">
              <w:rPr>
                <w:rFonts w:ascii="Arial" w:hAnsi="Arial" w:cs="Arial"/>
              </w:rPr>
              <w:t>current financial climate.  The considerations are that there is high inflation in the new country, sales have decreased by 3% and the remaining assets (buildings) are losing value.</w:t>
            </w:r>
          </w:p>
          <w:p w14:paraId="6CAD4184" w14:textId="5C408B15" w:rsidR="007E7D4F" w:rsidRDefault="007E7D4F" w:rsidP="005D0209">
            <w:pPr>
              <w:pStyle w:val="Standard"/>
              <w:spacing w:line="360" w:lineRule="auto"/>
              <w:rPr>
                <w:rFonts w:ascii="Arial" w:hAnsi="Arial" w:cs="Arial"/>
              </w:rPr>
            </w:pPr>
          </w:p>
          <w:p w14:paraId="33247E05" w14:textId="3DC3BA84" w:rsidR="007E7D4F" w:rsidRDefault="007E7D4F" w:rsidP="005D0209">
            <w:pPr>
              <w:pStyle w:val="Standard"/>
              <w:spacing w:line="360" w:lineRule="auto"/>
              <w:rPr>
                <w:rFonts w:ascii="Arial" w:hAnsi="Arial" w:cs="Arial"/>
              </w:rPr>
            </w:pPr>
            <w:r>
              <w:rPr>
                <w:rFonts w:ascii="Arial" w:hAnsi="Arial" w:cs="Arial"/>
              </w:rPr>
              <w:t xml:space="preserve">The higher inflation is going to have an impact on the disposable income of the people in the country which will mean that there is a risk that the decrease in sales may be higher in this country.  </w:t>
            </w:r>
          </w:p>
          <w:p w14:paraId="18D72A0E" w14:textId="7A681C34" w:rsidR="007E7D4F" w:rsidRDefault="007E7D4F" w:rsidP="005D0209">
            <w:pPr>
              <w:pStyle w:val="Standard"/>
              <w:spacing w:line="360" w:lineRule="auto"/>
              <w:rPr>
                <w:rFonts w:ascii="Arial" w:hAnsi="Arial" w:cs="Arial"/>
              </w:rPr>
            </w:pPr>
          </w:p>
          <w:p w14:paraId="070EE676" w14:textId="58233058" w:rsidR="007E7D4F" w:rsidRDefault="007E7D4F" w:rsidP="005D0209">
            <w:pPr>
              <w:pStyle w:val="Standard"/>
              <w:spacing w:line="360" w:lineRule="auto"/>
              <w:rPr>
                <w:rFonts w:ascii="Arial" w:hAnsi="Arial" w:cs="Arial"/>
              </w:rPr>
            </w:pPr>
            <w:r>
              <w:rPr>
                <w:rFonts w:ascii="Arial" w:hAnsi="Arial" w:cs="Arial"/>
              </w:rPr>
              <w:t>Mitigation or risk reduction could be locking into an exchange rate, insurance, hedging, and assess and monitor.</w:t>
            </w:r>
            <w:bookmarkStart w:id="0" w:name="_GoBack"/>
            <w:bookmarkEnd w:id="0"/>
          </w:p>
          <w:p w14:paraId="7EA391B8" w14:textId="0A4307FB" w:rsidR="005D0209" w:rsidRPr="00522282" w:rsidRDefault="005D0209" w:rsidP="005D0209">
            <w:pPr>
              <w:pStyle w:val="Standard"/>
              <w:spacing w:line="360" w:lineRule="auto"/>
              <w:rPr>
                <w:rFonts w:ascii="Arial" w:hAnsi="Arial" w:cs="Arial"/>
              </w:rPr>
            </w:pPr>
          </w:p>
        </w:tc>
      </w:tr>
    </w:tbl>
    <w:p w14:paraId="1B6E44E8" w14:textId="77777777" w:rsidR="0022314C" w:rsidRDefault="0022314C" w:rsidP="00A851DA">
      <w:pPr>
        <w:autoSpaceDE w:val="0"/>
        <w:autoSpaceDN w:val="0"/>
        <w:adjustRightInd w:val="0"/>
        <w:spacing w:after="0" w:line="240" w:lineRule="auto"/>
        <w:rPr>
          <w:rFonts w:cs="CalvertMT-Bold"/>
          <w:b/>
          <w:bCs/>
          <w:color w:val="002060"/>
          <w:sz w:val="28"/>
          <w:lang w:val="en-US"/>
        </w:rPr>
      </w:pPr>
    </w:p>
    <w:p w14:paraId="3159A32F" w14:textId="777D428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D61F0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26C3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8DBF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0274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4EEF320E" w14:textId="77777777" w:rsidTr="00405895">
        <w:tc>
          <w:tcPr>
            <w:tcW w:w="2310" w:type="dxa"/>
            <w:shd w:val="clear" w:color="auto" w:fill="D9D9D9" w:themeFill="background1" w:themeFillShade="D9"/>
          </w:tcPr>
          <w:p w14:paraId="302D089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AFB8C9" w14:textId="5A69B6C9" w:rsidR="00405895" w:rsidRPr="00B0415E" w:rsidRDefault="00DE7E30" w:rsidP="00A851DA">
            <w:pPr>
              <w:rPr>
                <w:rFonts w:cs="Bliss-Regular"/>
                <w:color w:val="000000"/>
              </w:rPr>
            </w:pPr>
            <w:r w:rsidRPr="00DE7E30">
              <w:rPr>
                <w:rFonts w:cs="Bliss-Regular"/>
                <w:b/>
                <w:color w:val="000000"/>
              </w:rPr>
              <w:t>E-signed:</w:t>
            </w:r>
            <w:r>
              <w:rPr>
                <w:rFonts w:cs="Bliss-Regular"/>
                <w:color w:val="000000"/>
              </w:rPr>
              <w:t xml:space="preserve">  </w:t>
            </w:r>
            <w:r w:rsidRPr="00DE7E30">
              <w:rPr>
                <w:rFonts w:ascii="Bradley Hand ITC" w:hAnsi="Bradley Hand ITC" w:cs="Bliss-Regular"/>
                <w:i/>
                <w:color w:val="000000"/>
              </w:rPr>
              <w:t>Brynley Parry</w:t>
            </w:r>
          </w:p>
        </w:tc>
        <w:tc>
          <w:tcPr>
            <w:tcW w:w="1276" w:type="dxa"/>
            <w:shd w:val="clear" w:color="auto" w:fill="D9D9D9" w:themeFill="background1" w:themeFillShade="D9"/>
          </w:tcPr>
          <w:p w14:paraId="5250E3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3DB902" w14:textId="23D42974" w:rsidR="00405895" w:rsidRPr="00B0415E" w:rsidRDefault="003B6A41" w:rsidP="00A851DA">
            <w:pPr>
              <w:rPr>
                <w:rFonts w:cs="Bliss-Regular"/>
                <w:color w:val="000000"/>
              </w:rPr>
            </w:pPr>
            <w:r>
              <w:rPr>
                <w:rFonts w:cs="Bliss-Regular"/>
                <w:color w:val="000000"/>
              </w:rPr>
              <w:t>1</w:t>
            </w:r>
            <w:r w:rsidR="00214A8B">
              <w:rPr>
                <w:rFonts w:cs="Bliss-Regular"/>
                <w:color w:val="000000"/>
              </w:rPr>
              <w:t>1</w:t>
            </w:r>
            <w:r w:rsidR="00DE7E30">
              <w:rPr>
                <w:rFonts w:cs="Bliss-Regular"/>
                <w:color w:val="000000"/>
              </w:rPr>
              <w:t>/0</w:t>
            </w:r>
            <w:r>
              <w:rPr>
                <w:rFonts w:cs="Bliss-Regular"/>
                <w:color w:val="000000"/>
              </w:rPr>
              <w:t>3</w:t>
            </w:r>
            <w:r w:rsidR="00DE7E30">
              <w:rPr>
                <w:rFonts w:cs="Bliss-Regular"/>
                <w:color w:val="000000"/>
              </w:rPr>
              <w:t>/1</w:t>
            </w:r>
            <w:r w:rsidR="00522282">
              <w:rPr>
                <w:rFonts w:cs="Bliss-Regular"/>
                <w:color w:val="000000"/>
              </w:rPr>
              <w:t>9</w:t>
            </w:r>
          </w:p>
        </w:tc>
      </w:tr>
    </w:tbl>
    <w:p w14:paraId="496022FE" w14:textId="77777777" w:rsidR="00A851DA" w:rsidRPr="00B0415E" w:rsidRDefault="00A851DA" w:rsidP="00A851DA">
      <w:pPr>
        <w:rPr>
          <w:rFonts w:cs="Bliss-Regular"/>
          <w:color w:val="000000"/>
          <w:lang w:val="en-US"/>
        </w:rPr>
      </w:pPr>
    </w:p>
    <w:p w14:paraId="01C0BD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F060AD8" w14:textId="77777777" w:rsidTr="00B0415E">
        <w:trPr>
          <w:trHeight w:val="249"/>
        </w:trPr>
        <w:tc>
          <w:tcPr>
            <w:tcW w:w="4621" w:type="dxa"/>
            <w:shd w:val="clear" w:color="auto" w:fill="D9D9D9" w:themeFill="background1" w:themeFillShade="D9"/>
          </w:tcPr>
          <w:p w14:paraId="5A2354A7" w14:textId="77777777" w:rsidR="00503D7E" w:rsidRPr="00B0415E" w:rsidRDefault="00503D7E" w:rsidP="00503D7E">
            <w:pPr>
              <w:rPr>
                <w:b/>
                <w:color w:val="002060"/>
              </w:rPr>
            </w:pPr>
            <w:r w:rsidRPr="00B0415E">
              <w:rPr>
                <w:b/>
                <w:color w:val="002060"/>
              </w:rPr>
              <w:t>Total Marks</w:t>
            </w:r>
          </w:p>
        </w:tc>
        <w:tc>
          <w:tcPr>
            <w:tcW w:w="4621" w:type="dxa"/>
          </w:tcPr>
          <w:p w14:paraId="18736C14" w14:textId="77777777" w:rsidR="00503D7E" w:rsidRPr="00B0415E" w:rsidRDefault="00503D7E" w:rsidP="00503D7E">
            <w:pPr>
              <w:rPr>
                <w:rFonts w:cs="Times New Roman"/>
                <w:szCs w:val="32"/>
              </w:rPr>
            </w:pPr>
          </w:p>
        </w:tc>
      </w:tr>
      <w:tr w:rsidR="00503D7E" w:rsidRPr="00B0415E" w14:paraId="1732D15A" w14:textId="77777777" w:rsidTr="00B0415E">
        <w:tc>
          <w:tcPr>
            <w:tcW w:w="4621" w:type="dxa"/>
            <w:shd w:val="clear" w:color="auto" w:fill="D9D9D9" w:themeFill="background1" w:themeFillShade="D9"/>
          </w:tcPr>
          <w:p w14:paraId="45DAB033" w14:textId="77777777" w:rsidR="00503D7E" w:rsidRPr="00B0415E" w:rsidRDefault="00503D7E" w:rsidP="00503D7E">
            <w:pPr>
              <w:rPr>
                <w:b/>
                <w:color w:val="002060"/>
              </w:rPr>
            </w:pPr>
            <w:r w:rsidRPr="00B0415E">
              <w:rPr>
                <w:b/>
                <w:color w:val="002060"/>
              </w:rPr>
              <w:t>Marks Obtained</w:t>
            </w:r>
          </w:p>
        </w:tc>
        <w:tc>
          <w:tcPr>
            <w:tcW w:w="4621" w:type="dxa"/>
          </w:tcPr>
          <w:p w14:paraId="71A6630D" w14:textId="77777777" w:rsidR="00503D7E" w:rsidRPr="00B0415E" w:rsidRDefault="00503D7E" w:rsidP="00503D7E">
            <w:pPr>
              <w:rPr>
                <w:rFonts w:cs="Times New Roman"/>
                <w:szCs w:val="32"/>
              </w:rPr>
            </w:pPr>
          </w:p>
        </w:tc>
      </w:tr>
      <w:tr w:rsidR="00503D7E" w:rsidRPr="00B0415E" w14:paraId="2FC39C9D" w14:textId="77777777" w:rsidTr="00B0415E">
        <w:tc>
          <w:tcPr>
            <w:tcW w:w="4621" w:type="dxa"/>
            <w:shd w:val="clear" w:color="auto" w:fill="D9D9D9" w:themeFill="background1" w:themeFillShade="D9"/>
          </w:tcPr>
          <w:p w14:paraId="13962544" w14:textId="77777777" w:rsidR="00503D7E" w:rsidRPr="00B0415E" w:rsidRDefault="00B0415E" w:rsidP="00503D7E">
            <w:pPr>
              <w:rPr>
                <w:b/>
                <w:color w:val="002060"/>
              </w:rPr>
            </w:pPr>
            <w:r w:rsidRPr="00B0415E">
              <w:rPr>
                <w:b/>
                <w:color w:val="002060"/>
              </w:rPr>
              <w:t>Percentage / Grade</w:t>
            </w:r>
          </w:p>
        </w:tc>
        <w:tc>
          <w:tcPr>
            <w:tcW w:w="4621" w:type="dxa"/>
          </w:tcPr>
          <w:p w14:paraId="022064B1" w14:textId="77777777" w:rsidR="00503D7E" w:rsidRPr="00B0415E" w:rsidRDefault="00503D7E" w:rsidP="00503D7E">
            <w:pPr>
              <w:rPr>
                <w:rFonts w:cs="Times New Roman"/>
                <w:szCs w:val="32"/>
              </w:rPr>
            </w:pPr>
          </w:p>
        </w:tc>
      </w:tr>
    </w:tbl>
    <w:p w14:paraId="5CDA4F62" w14:textId="77777777"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12CFC" w14:textId="77777777" w:rsidR="00FD7208" w:rsidRDefault="00FD7208" w:rsidP="00CB4D0A">
      <w:pPr>
        <w:spacing w:after="0" w:line="240" w:lineRule="auto"/>
      </w:pPr>
      <w:r>
        <w:separator/>
      </w:r>
    </w:p>
  </w:endnote>
  <w:endnote w:type="continuationSeparator" w:id="0">
    <w:p w14:paraId="07A8C34F" w14:textId="77777777" w:rsidR="00FD7208" w:rsidRDefault="00FD72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WenQuanYi Micro Hei">
    <w:charset w:val="00"/>
    <w:family w:val="auto"/>
    <w:pitch w:val="variable"/>
  </w:font>
  <w:font w:name="Lohit Devanagari">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altName w:val="Bradley Hand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2472889"/>
      <w:docPartObj>
        <w:docPartGallery w:val="Page Numbers (Bottom of Page)"/>
        <w:docPartUnique/>
      </w:docPartObj>
    </w:sdtPr>
    <w:sdtEndPr>
      <w:rPr>
        <w:noProof/>
      </w:rPr>
    </w:sdtEndPr>
    <w:sdtContent>
      <w:p w14:paraId="41CAE69B" w14:textId="620E48C8" w:rsidR="00E51965" w:rsidRDefault="00E519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2CEA4E" w14:textId="77777777" w:rsidR="00E51965" w:rsidRDefault="00E51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2F6F5" w14:textId="77777777" w:rsidR="00FD7208" w:rsidRDefault="00FD7208" w:rsidP="00CB4D0A">
      <w:pPr>
        <w:spacing w:after="0" w:line="240" w:lineRule="auto"/>
      </w:pPr>
      <w:r>
        <w:separator/>
      </w:r>
    </w:p>
  </w:footnote>
  <w:footnote w:type="continuationSeparator" w:id="0">
    <w:p w14:paraId="3159EABA" w14:textId="77777777" w:rsidR="00FD7208" w:rsidRDefault="00FD720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0A153" w14:textId="4AD70BDC" w:rsidR="00E51965" w:rsidRDefault="00E51965" w:rsidP="0022314C">
    <w:pPr>
      <w:pStyle w:val="Header"/>
      <w:jc w:val="right"/>
      <w:rPr>
        <w:sz w:val="18"/>
      </w:rPr>
    </w:pPr>
    <w:r w:rsidRPr="0022314C">
      <w:rPr>
        <w:sz w:val="18"/>
      </w:rPr>
      <w:t>Brynley Parry 21959</w:t>
    </w:r>
  </w:p>
  <w:p w14:paraId="36EED9C1" w14:textId="605E4A94" w:rsidR="00E51965" w:rsidRPr="0022314C" w:rsidRDefault="00E51965" w:rsidP="0022314C">
    <w:pPr>
      <w:pStyle w:val="Header"/>
      <w:jc w:val="right"/>
      <w:rPr>
        <w:sz w:val="18"/>
      </w:rPr>
    </w:pPr>
    <w:r>
      <w:rPr>
        <w:sz w:val="18"/>
      </w:rPr>
      <w:t xml:space="preserve">Risk Management Assessment </w:t>
    </w:r>
    <w:r w:rsidR="00D07C42">
      <w:rPr>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1314"/>
    <w:multiLevelType w:val="hybridMultilevel"/>
    <w:tmpl w:val="1E60A69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7905C4C"/>
    <w:multiLevelType w:val="hybridMultilevel"/>
    <w:tmpl w:val="97CE5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61F53"/>
    <w:multiLevelType w:val="hybridMultilevel"/>
    <w:tmpl w:val="B98CE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A9194F"/>
    <w:multiLevelType w:val="hybridMultilevel"/>
    <w:tmpl w:val="5D88C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4726C3"/>
    <w:multiLevelType w:val="hybridMultilevel"/>
    <w:tmpl w:val="76344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307BC"/>
    <w:multiLevelType w:val="hybridMultilevel"/>
    <w:tmpl w:val="EBA84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D5594C"/>
    <w:multiLevelType w:val="hybridMultilevel"/>
    <w:tmpl w:val="A89AC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CE6E2D"/>
    <w:multiLevelType w:val="hybridMultilevel"/>
    <w:tmpl w:val="96525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4365C6"/>
    <w:multiLevelType w:val="hybridMultilevel"/>
    <w:tmpl w:val="494C5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11109B"/>
    <w:multiLevelType w:val="hybridMultilevel"/>
    <w:tmpl w:val="9AF42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9C1EDC"/>
    <w:multiLevelType w:val="hybridMultilevel"/>
    <w:tmpl w:val="40A45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4703D8"/>
    <w:multiLevelType w:val="hybridMultilevel"/>
    <w:tmpl w:val="5B16C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562F63"/>
    <w:multiLevelType w:val="hybridMultilevel"/>
    <w:tmpl w:val="5A96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37697E"/>
    <w:multiLevelType w:val="hybridMultilevel"/>
    <w:tmpl w:val="C0DEB8B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51F2D28"/>
    <w:multiLevelType w:val="hybridMultilevel"/>
    <w:tmpl w:val="2144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E601D"/>
    <w:multiLevelType w:val="hybridMultilevel"/>
    <w:tmpl w:val="054E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F74001"/>
    <w:multiLevelType w:val="hybridMultilevel"/>
    <w:tmpl w:val="4F0A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F633AE"/>
    <w:multiLevelType w:val="hybridMultilevel"/>
    <w:tmpl w:val="BA863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241008E"/>
    <w:multiLevelType w:val="hybridMultilevel"/>
    <w:tmpl w:val="C6A67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03086C"/>
    <w:multiLevelType w:val="hybridMultilevel"/>
    <w:tmpl w:val="85E63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6212B09"/>
    <w:multiLevelType w:val="hybridMultilevel"/>
    <w:tmpl w:val="86088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CE3C6C"/>
    <w:multiLevelType w:val="hybridMultilevel"/>
    <w:tmpl w:val="7656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530B53"/>
    <w:multiLevelType w:val="hybridMultilevel"/>
    <w:tmpl w:val="51E8A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E60072"/>
    <w:multiLevelType w:val="hybridMultilevel"/>
    <w:tmpl w:val="99B41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544D93"/>
    <w:multiLevelType w:val="hybridMultilevel"/>
    <w:tmpl w:val="6824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5D0770"/>
    <w:multiLevelType w:val="hybridMultilevel"/>
    <w:tmpl w:val="243A1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6973143"/>
    <w:multiLevelType w:val="hybridMultilevel"/>
    <w:tmpl w:val="1AFE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AF6325"/>
    <w:multiLevelType w:val="hybridMultilevel"/>
    <w:tmpl w:val="B0B4A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466820"/>
    <w:multiLevelType w:val="hybridMultilevel"/>
    <w:tmpl w:val="C0E24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164C51"/>
    <w:multiLevelType w:val="hybridMultilevel"/>
    <w:tmpl w:val="2CCA8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4221BF"/>
    <w:multiLevelType w:val="hybridMultilevel"/>
    <w:tmpl w:val="C6FC3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8A6E8B"/>
    <w:multiLevelType w:val="hybridMultilevel"/>
    <w:tmpl w:val="28B4C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7A87712"/>
    <w:multiLevelType w:val="hybridMultilevel"/>
    <w:tmpl w:val="7A825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F21469"/>
    <w:multiLevelType w:val="hybridMultilevel"/>
    <w:tmpl w:val="83FA7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2C45DD"/>
    <w:multiLevelType w:val="hybridMultilevel"/>
    <w:tmpl w:val="EE944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1F345E0"/>
    <w:multiLevelType w:val="hybridMultilevel"/>
    <w:tmpl w:val="A6CE9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6E3F19"/>
    <w:multiLevelType w:val="hybridMultilevel"/>
    <w:tmpl w:val="AB0C9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2D518FD"/>
    <w:multiLevelType w:val="hybridMultilevel"/>
    <w:tmpl w:val="C5C21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36A6BBF"/>
    <w:multiLevelType w:val="hybridMultilevel"/>
    <w:tmpl w:val="ADA8B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5D96370"/>
    <w:multiLevelType w:val="hybridMultilevel"/>
    <w:tmpl w:val="5AF6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4468F3"/>
    <w:multiLevelType w:val="hybridMultilevel"/>
    <w:tmpl w:val="081C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671F3F"/>
    <w:multiLevelType w:val="hybridMultilevel"/>
    <w:tmpl w:val="FD26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BC155A"/>
    <w:multiLevelType w:val="multilevel"/>
    <w:tmpl w:val="B978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2"/>
  </w:num>
  <w:num w:numId="3">
    <w:abstractNumId w:val="0"/>
  </w:num>
  <w:num w:numId="4">
    <w:abstractNumId w:val="41"/>
  </w:num>
  <w:num w:numId="5">
    <w:abstractNumId w:val="36"/>
  </w:num>
  <w:num w:numId="6">
    <w:abstractNumId w:val="40"/>
  </w:num>
  <w:num w:numId="7">
    <w:abstractNumId w:val="22"/>
  </w:num>
  <w:num w:numId="8">
    <w:abstractNumId w:val="13"/>
  </w:num>
  <w:num w:numId="9">
    <w:abstractNumId w:val="16"/>
  </w:num>
  <w:num w:numId="10">
    <w:abstractNumId w:val="4"/>
  </w:num>
  <w:num w:numId="11">
    <w:abstractNumId w:val="34"/>
  </w:num>
  <w:num w:numId="12">
    <w:abstractNumId w:val="1"/>
  </w:num>
  <w:num w:numId="13">
    <w:abstractNumId w:val="43"/>
  </w:num>
  <w:num w:numId="14">
    <w:abstractNumId w:val="14"/>
  </w:num>
  <w:num w:numId="15">
    <w:abstractNumId w:val="15"/>
  </w:num>
  <w:num w:numId="16">
    <w:abstractNumId w:val="27"/>
  </w:num>
  <w:num w:numId="17">
    <w:abstractNumId w:val="42"/>
  </w:num>
  <w:num w:numId="18">
    <w:abstractNumId w:val="8"/>
  </w:num>
  <w:num w:numId="19">
    <w:abstractNumId w:val="18"/>
  </w:num>
  <w:num w:numId="20">
    <w:abstractNumId w:val="30"/>
  </w:num>
  <w:num w:numId="21">
    <w:abstractNumId w:val="19"/>
  </w:num>
  <w:num w:numId="22">
    <w:abstractNumId w:val="29"/>
  </w:num>
  <w:num w:numId="23">
    <w:abstractNumId w:val="24"/>
  </w:num>
  <w:num w:numId="24">
    <w:abstractNumId w:val="9"/>
  </w:num>
  <w:num w:numId="25">
    <w:abstractNumId w:val="28"/>
  </w:num>
  <w:num w:numId="26">
    <w:abstractNumId w:val="26"/>
  </w:num>
  <w:num w:numId="27">
    <w:abstractNumId w:val="20"/>
  </w:num>
  <w:num w:numId="28">
    <w:abstractNumId w:val="23"/>
  </w:num>
  <w:num w:numId="29">
    <w:abstractNumId w:val="6"/>
  </w:num>
  <w:num w:numId="30">
    <w:abstractNumId w:val="7"/>
  </w:num>
  <w:num w:numId="31">
    <w:abstractNumId w:val="32"/>
  </w:num>
  <w:num w:numId="32">
    <w:abstractNumId w:val="17"/>
  </w:num>
  <w:num w:numId="33">
    <w:abstractNumId w:val="25"/>
  </w:num>
  <w:num w:numId="34">
    <w:abstractNumId w:val="33"/>
  </w:num>
  <w:num w:numId="35">
    <w:abstractNumId w:val="11"/>
  </w:num>
  <w:num w:numId="36">
    <w:abstractNumId w:val="3"/>
  </w:num>
  <w:num w:numId="37">
    <w:abstractNumId w:val="39"/>
  </w:num>
  <w:num w:numId="38">
    <w:abstractNumId w:val="35"/>
  </w:num>
  <w:num w:numId="39">
    <w:abstractNumId w:val="38"/>
  </w:num>
  <w:num w:numId="40">
    <w:abstractNumId w:val="5"/>
  </w:num>
  <w:num w:numId="41">
    <w:abstractNumId w:val="37"/>
  </w:num>
  <w:num w:numId="42">
    <w:abstractNumId w:val="31"/>
  </w:num>
  <w:num w:numId="43">
    <w:abstractNumId w:val="10"/>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A4A"/>
    <w:rsid w:val="000130F2"/>
    <w:rsid w:val="00014527"/>
    <w:rsid w:val="000158F9"/>
    <w:rsid w:val="00017AC4"/>
    <w:rsid w:val="000239B9"/>
    <w:rsid w:val="00035CDD"/>
    <w:rsid w:val="00037679"/>
    <w:rsid w:val="00040083"/>
    <w:rsid w:val="00041186"/>
    <w:rsid w:val="0005009F"/>
    <w:rsid w:val="00055992"/>
    <w:rsid w:val="00056269"/>
    <w:rsid w:val="000563AD"/>
    <w:rsid w:val="00066496"/>
    <w:rsid w:val="00081825"/>
    <w:rsid w:val="000820E8"/>
    <w:rsid w:val="000861E5"/>
    <w:rsid w:val="00092B37"/>
    <w:rsid w:val="000A0585"/>
    <w:rsid w:val="000A1323"/>
    <w:rsid w:val="000A1B08"/>
    <w:rsid w:val="000A4CC4"/>
    <w:rsid w:val="000C1557"/>
    <w:rsid w:val="000C55AE"/>
    <w:rsid w:val="000D44B6"/>
    <w:rsid w:val="000D462D"/>
    <w:rsid w:val="000E5180"/>
    <w:rsid w:val="000E7C9A"/>
    <w:rsid w:val="000F18F4"/>
    <w:rsid w:val="000F75E0"/>
    <w:rsid w:val="0010093F"/>
    <w:rsid w:val="001175EE"/>
    <w:rsid w:val="0012121F"/>
    <w:rsid w:val="00133876"/>
    <w:rsid w:val="00146FC2"/>
    <w:rsid w:val="00147BA2"/>
    <w:rsid w:val="00154B3B"/>
    <w:rsid w:val="00157CF6"/>
    <w:rsid w:val="001660AC"/>
    <w:rsid w:val="00182416"/>
    <w:rsid w:val="00187EB4"/>
    <w:rsid w:val="001953C6"/>
    <w:rsid w:val="001A5CA0"/>
    <w:rsid w:val="001B2F36"/>
    <w:rsid w:val="001B3878"/>
    <w:rsid w:val="001B3D91"/>
    <w:rsid w:val="001C3021"/>
    <w:rsid w:val="001E4262"/>
    <w:rsid w:val="001E6173"/>
    <w:rsid w:val="001F0481"/>
    <w:rsid w:val="001F0936"/>
    <w:rsid w:val="001F4E59"/>
    <w:rsid w:val="00200C92"/>
    <w:rsid w:val="0020451E"/>
    <w:rsid w:val="00206B9D"/>
    <w:rsid w:val="00214A8B"/>
    <w:rsid w:val="0022314C"/>
    <w:rsid w:val="00224967"/>
    <w:rsid w:val="00226266"/>
    <w:rsid w:val="00226941"/>
    <w:rsid w:val="0023259C"/>
    <w:rsid w:val="002478B4"/>
    <w:rsid w:val="00252E48"/>
    <w:rsid w:val="00254035"/>
    <w:rsid w:val="00254782"/>
    <w:rsid w:val="002570FF"/>
    <w:rsid w:val="0026235E"/>
    <w:rsid w:val="002632F1"/>
    <w:rsid w:val="00280552"/>
    <w:rsid w:val="002A785F"/>
    <w:rsid w:val="002B056E"/>
    <w:rsid w:val="002B0BD7"/>
    <w:rsid w:val="002B573D"/>
    <w:rsid w:val="002C5CB2"/>
    <w:rsid w:val="002C6E9B"/>
    <w:rsid w:val="002C74D6"/>
    <w:rsid w:val="002C7642"/>
    <w:rsid w:val="002D5BC2"/>
    <w:rsid w:val="002E1C09"/>
    <w:rsid w:val="002F779F"/>
    <w:rsid w:val="003059F7"/>
    <w:rsid w:val="00306C46"/>
    <w:rsid w:val="003077D3"/>
    <w:rsid w:val="00311F8A"/>
    <w:rsid w:val="00312C30"/>
    <w:rsid w:val="003256E7"/>
    <w:rsid w:val="0033450E"/>
    <w:rsid w:val="00334DD0"/>
    <w:rsid w:val="00336E18"/>
    <w:rsid w:val="003504A0"/>
    <w:rsid w:val="00350BFF"/>
    <w:rsid w:val="003566F5"/>
    <w:rsid w:val="00360028"/>
    <w:rsid w:val="00361B01"/>
    <w:rsid w:val="00362A00"/>
    <w:rsid w:val="003674B4"/>
    <w:rsid w:val="00367565"/>
    <w:rsid w:val="00371885"/>
    <w:rsid w:val="0037769B"/>
    <w:rsid w:val="00380C85"/>
    <w:rsid w:val="003A0DE6"/>
    <w:rsid w:val="003B018A"/>
    <w:rsid w:val="003B032A"/>
    <w:rsid w:val="003B220F"/>
    <w:rsid w:val="003B45EB"/>
    <w:rsid w:val="003B6A41"/>
    <w:rsid w:val="003E2B87"/>
    <w:rsid w:val="003E36A7"/>
    <w:rsid w:val="003E63F8"/>
    <w:rsid w:val="00400DD6"/>
    <w:rsid w:val="00402786"/>
    <w:rsid w:val="00402EAA"/>
    <w:rsid w:val="00403682"/>
    <w:rsid w:val="00405895"/>
    <w:rsid w:val="004058DF"/>
    <w:rsid w:val="00407A33"/>
    <w:rsid w:val="00426058"/>
    <w:rsid w:val="004261B2"/>
    <w:rsid w:val="004265DE"/>
    <w:rsid w:val="004345A6"/>
    <w:rsid w:val="00443E6F"/>
    <w:rsid w:val="00444642"/>
    <w:rsid w:val="004849C5"/>
    <w:rsid w:val="00486F1A"/>
    <w:rsid w:val="00490CB9"/>
    <w:rsid w:val="00494157"/>
    <w:rsid w:val="00497538"/>
    <w:rsid w:val="00497CA0"/>
    <w:rsid w:val="004A2CE2"/>
    <w:rsid w:val="004A6821"/>
    <w:rsid w:val="004A7D1D"/>
    <w:rsid w:val="004B664B"/>
    <w:rsid w:val="004C74F2"/>
    <w:rsid w:val="004E3CDA"/>
    <w:rsid w:val="004E5F64"/>
    <w:rsid w:val="004F4B4D"/>
    <w:rsid w:val="005005A2"/>
    <w:rsid w:val="0050216D"/>
    <w:rsid w:val="00503D7E"/>
    <w:rsid w:val="00504BED"/>
    <w:rsid w:val="0050778F"/>
    <w:rsid w:val="00510558"/>
    <w:rsid w:val="00511C97"/>
    <w:rsid w:val="005156E8"/>
    <w:rsid w:val="005217BB"/>
    <w:rsid w:val="00522282"/>
    <w:rsid w:val="00524F13"/>
    <w:rsid w:val="00527C11"/>
    <w:rsid w:val="00535F31"/>
    <w:rsid w:val="00537338"/>
    <w:rsid w:val="00541FF6"/>
    <w:rsid w:val="005434E4"/>
    <w:rsid w:val="005437A9"/>
    <w:rsid w:val="00557FDB"/>
    <w:rsid w:val="005634B3"/>
    <w:rsid w:val="0056387A"/>
    <w:rsid w:val="00573952"/>
    <w:rsid w:val="00574D64"/>
    <w:rsid w:val="00582110"/>
    <w:rsid w:val="00582FC8"/>
    <w:rsid w:val="0058451D"/>
    <w:rsid w:val="00591365"/>
    <w:rsid w:val="00593D6D"/>
    <w:rsid w:val="005A3041"/>
    <w:rsid w:val="005A383E"/>
    <w:rsid w:val="005B31E4"/>
    <w:rsid w:val="005B46FD"/>
    <w:rsid w:val="005B74D0"/>
    <w:rsid w:val="005C05F0"/>
    <w:rsid w:val="005D0209"/>
    <w:rsid w:val="005D0F95"/>
    <w:rsid w:val="005E50E5"/>
    <w:rsid w:val="005F50FB"/>
    <w:rsid w:val="006034F6"/>
    <w:rsid w:val="0060402C"/>
    <w:rsid w:val="00607874"/>
    <w:rsid w:val="00607E77"/>
    <w:rsid w:val="00617BB3"/>
    <w:rsid w:val="00635908"/>
    <w:rsid w:val="00637AAB"/>
    <w:rsid w:val="00645CDD"/>
    <w:rsid w:val="0065346F"/>
    <w:rsid w:val="00657726"/>
    <w:rsid w:val="006823A7"/>
    <w:rsid w:val="00687EE8"/>
    <w:rsid w:val="006962EC"/>
    <w:rsid w:val="006C623A"/>
    <w:rsid w:val="006C6491"/>
    <w:rsid w:val="006C6A5D"/>
    <w:rsid w:val="006D214E"/>
    <w:rsid w:val="006D235A"/>
    <w:rsid w:val="006D682C"/>
    <w:rsid w:val="006E4F9E"/>
    <w:rsid w:val="006F587F"/>
    <w:rsid w:val="00702079"/>
    <w:rsid w:val="0070347F"/>
    <w:rsid w:val="0070678E"/>
    <w:rsid w:val="00711E0A"/>
    <w:rsid w:val="007259EE"/>
    <w:rsid w:val="00736B7A"/>
    <w:rsid w:val="007401BF"/>
    <w:rsid w:val="00744872"/>
    <w:rsid w:val="0075610F"/>
    <w:rsid w:val="0077608A"/>
    <w:rsid w:val="00782C31"/>
    <w:rsid w:val="007864A1"/>
    <w:rsid w:val="00786DEC"/>
    <w:rsid w:val="00795D12"/>
    <w:rsid w:val="00797EA5"/>
    <w:rsid w:val="007C4137"/>
    <w:rsid w:val="007C4AAC"/>
    <w:rsid w:val="007C6095"/>
    <w:rsid w:val="007C64E1"/>
    <w:rsid w:val="007E7D4F"/>
    <w:rsid w:val="00801562"/>
    <w:rsid w:val="00817458"/>
    <w:rsid w:val="008255E4"/>
    <w:rsid w:val="00831C11"/>
    <w:rsid w:val="008341DE"/>
    <w:rsid w:val="00841498"/>
    <w:rsid w:val="00852BB6"/>
    <w:rsid w:val="00852E63"/>
    <w:rsid w:val="00874CE5"/>
    <w:rsid w:val="0088647B"/>
    <w:rsid w:val="00895160"/>
    <w:rsid w:val="008A60B4"/>
    <w:rsid w:val="008B3C31"/>
    <w:rsid w:val="008B5DF4"/>
    <w:rsid w:val="008B64FE"/>
    <w:rsid w:val="008B7C12"/>
    <w:rsid w:val="008C54D1"/>
    <w:rsid w:val="008D51B3"/>
    <w:rsid w:val="008D748F"/>
    <w:rsid w:val="008E4094"/>
    <w:rsid w:val="008F5E2F"/>
    <w:rsid w:val="00935BF7"/>
    <w:rsid w:val="00937B1F"/>
    <w:rsid w:val="00953BCD"/>
    <w:rsid w:val="0095442C"/>
    <w:rsid w:val="00955D35"/>
    <w:rsid w:val="0095799A"/>
    <w:rsid w:val="00970F02"/>
    <w:rsid w:val="00983942"/>
    <w:rsid w:val="009853E5"/>
    <w:rsid w:val="00985AE1"/>
    <w:rsid w:val="00985F6A"/>
    <w:rsid w:val="00993A05"/>
    <w:rsid w:val="00993F7F"/>
    <w:rsid w:val="009946F2"/>
    <w:rsid w:val="00994C73"/>
    <w:rsid w:val="009C0115"/>
    <w:rsid w:val="009C33A4"/>
    <w:rsid w:val="009C37E0"/>
    <w:rsid w:val="009D66D1"/>
    <w:rsid w:val="009D6EB4"/>
    <w:rsid w:val="009D6FE5"/>
    <w:rsid w:val="009E41F4"/>
    <w:rsid w:val="009E61BC"/>
    <w:rsid w:val="009E7764"/>
    <w:rsid w:val="009F720C"/>
    <w:rsid w:val="00A010D2"/>
    <w:rsid w:val="00A06B10"/>
    <w:rsid w:val="00A117E8"/>
    <w:rsid w:val="00A13776"/>
    <w:rsid w:val="00A13B79"/>
    <w:rsid w:val="00A14B66"/>
    <w:rsid w:val="00A153CC"/>
    <w:rsid w:val="00A31981"/>
    <w:rsid w:val="00A376D6"/>
    <w:rsid w:val="00A37BFB"/>
    <w:rsid w:val="00A44598"/>
    <w:rsid w:val="00A47856"/>
    <w:rsid w:val="00A51AD3"/>
    <w:rsid w:val="00A5577C"/>
    <w:rsid w:val="00A65CF7"/>
    <w:rsid w:val="00A70FB6"/>
    <w:rsid w:val="00A71052"/>
    <w:rsid w:val="00A81AB4"/>
    <w:rsid w:val="00A851DA"/>
    <w:rsid w:val="00A9003B"/>
    <w:rsid w:val="00A9718F"/>
    <w:rsid w:val="00AA33A4"/>
    <w:rsid w:val="00AB6235"/>
    <w:rsid w:val="00AC7D5B"/>
    <w:rsid w:val="00AD05F5"/>
    <w:rsid w:val="00AD657D"/>
    <w:rsid w:val="00AE1481"/>
    <w:rsid w:val="00AE333C"/>
    <w:rsid w:val="00AE7BCE"/>
    <w:rsid w:val="00AF6207"/>
    <w:rsid w:val="00B0415E"/>
    <w:rsid w:val="00B04678"/>
    <w:rsid w:val="00B318E1"/>
    <w:rsid w:val="00B461CF"/>
    <w:rsid w:val="00B60D1C"/>
    <w:rsid w:val="00B808A1"/>
    <w:rsid w:val="00B8360A"/>
    <w:rsid w:val="00B87D0A"/>
    <w:rsid w:val="00B9529C"/>
    <w:rsid w:val="00BC46DF"/>
    <w:rsid w:val="00BD199E"/>
    <w:rsid w:val="00BF548C"/>
    <w:rsid w:val="00C03577"/>
    <w:rsid w:val="00C10AAE"/>
    <w:rsid w:val="00C2557A"/>
    <w:rsid w:val="00C30DAC"/>
    <w:rsid w:val="00C414D2"/>
    <w:rsid w:val="00C53029"/>
    <w:rsid w:val="00C548EF"/>
    <w:rsid w:val="00C64320"/>
    <w:rsid w:val="00C65FEA"/>
    <w:rsid w:val="00C821C8"/>
    <w:rsid w:val="00CA0AC2"/>
    <w:rsid w:val="00CB4D0A"/>
    <w:rsid w:val="00CB5241"/>
    <w:rsid w:val="00CC2FB3"/>
    <w:rsid w:val="00CC523A"/>
    <w:rsid w:val="00CC575A"/>
    <w:rsid w:val="00CD0033"/>
    <w:rsid w:val="00CD0B42"/>
    <w:rsid w:val="00CD6C5A"/>
    <w:rsid w:val="00CE07CB"/>
    <w:rsid w:val="00CE24D8"/>
    <w:rsid w:val="00CE417A"/>
    <w:rsid w:val="00CF123B"/>
    <w:rsid w:val="00D039AC"/>
    <w:rsid w:val="00D07C42"/>
    <w:rsid w:val="00D1278F"/>
    <w:rsid w:val="00D1589D"/>
    <w:rsid w:val="00D21777"/>
    <w:rsid w:val="00D2456C"/>
    <w:rsid w:val="00D34763"/>
    <w:rsid w:val="00D40B84"/>
    <w:rsid w:val="00D427DE"/>
    <w:rsid w:val="00D5587D"/>
    <w:rsid w:val="00D62EDA"/>
    <w:rsid w:val="00D707CC"/>
    <w:rsid w:val="00D821FE"/>
    <w:rsid w:val="00D835D8"/>
    <w:rsid w:val="00D8496E"/>
    <w:rsid w:val="00D8747F"/>
    <w:rsid w:val="00D91792"/>
    <w:rsid w:val="00D9648E"/>
    <w:rsid w:val="00DB05D3"/>
    <w:rsid w:val="00DB0793"/>
    <w:rsid w:val="00DB3782"/>
    <w:rsid w:val="00DB4F97"/>
    <w:rsid w:val="00DB5440"/>
    <w:rsid w:val="00DE7E30"/>
    <w:rsid w:val="00DF6F19"/>
    <w:rsid w:val="00DF7A64"/>
    <w:rsid w:val="00E00821"/>
    <w:rsid w:val="00E04DB4"/>
    <w:rsid w:val="00E22A19"/>
    <w:rsid w:val="00E30679"/>
    <w:rsid w:val="00E32E58"/>
    <w:rsid w:val="00E42F3B"/>
    <w:rsid w:val="00E4597D"/>
    <w:rsid w:val="00E46E28"/>
    <w:rsid w:val="00E51965"/>
    <w:rsid w:val="00E54832"/>
    <w:rsid w:val="00E54838"/>
    <w:rsid w:val="00E56A90"/>
    <w:rsid w:val="00E641CC"/>
    <w:rsid w:val="00E7056F"/>
    <w:rsid w:val="00E748CA"/>
    <w:rsid w:val="00E7781D"/>
    <w:rsid w:val="00E80417"/>
    <w:rsid w:val="00E81A6C"/>
    <w:rsid w:val="00E82738"/>
    <w:rsid w:val="00E84E64"/>
    <w:rsid w:val="00E942D8"/>
    <w:rsid w:val="00E959E4"/>
    <w:rsid w:val="00E96951"/>
    <w:rsid w:val="00EA30AB"/>
    <w:rsid w:val="00EB1FCA"/>
    <w:rsid w:val="00EB3925"/>
    <w:rsid w:val="00EC5694"/>
    <w:rsid w:val="00EC7D2A"/>
    <w:rsid w:val="00EC7E07"/>
    <w:rsid w:val="00ED4F7D"/>
    <w:rsid w:val="00EE4564"/>
    <w:rsid w:val="00EF0B76"/>
    <w:rsid w:val="00EF5ECD"/>
    <w:rsid w:val="00F10F83"/>
    <w:rsid w:val="00F12C6D"/>
    <w:rsid w:val="00F20541"/>
    <w:rsid w:val="00F3120C"/>
    <w:rsid w:val="00F33D91"/>
    <w:rsid w:val="00F36A82"/>
    <w:rsid w:val="00F449A6"/>
    <w:rsid w:val="00F53141"/>
    <w:rsid w:val="00F66F2B"/>
    <w:rsid w:val="00F96EB3"/>
    <w:rsid w:val="00FA154E"/>
    <w:rsid w:val="00FA5792"/>
    <w:rsid w:val="00FC2490"/>
    <w:rsid w:val="00FC4124"/>
    <w:rsid w:val="00FD4BF7"/>
    <w:rsid w:val="00FD720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93E43"/>
  <w15:docId w15:val="{4AE3E792-9549-41C5-B33C-1A72A81C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47BA2"/>
    <w:pPr>
      <w:suppressAutoHyphens/>
      <w:autoSpaceDN w:val="0"/>
      <w:spacing w:after="0" w:line="240" w:lineRule="auto"/>
    </w:pPr>
    <w:rPr>
      <w:rFonts w:ascii="Liberation Serif" w:eastAsia="WenQuanYi Micro Hei" w:hAnsi="Liberation Serif" w:cs="Lohit Devanagari"/>
      <w:kern w:val="3"/>
      <w:sz w:val="24"/>
      <w:szCs w:val="24"/>
      <w:lang w:eastAsia="zh-CN" w:bidi="hi-IN"/>
    </w:rPr>
  </w:style>
  <w:style w:type="paragraph" w:styleId="NormalWeb">
    <w:name w:val="Normal (Web)"/>
    <w:basedOn w:val="Normal"/>
    <w:uiPriority w:val="99"/>
    <w:semiHidden/>
    <w:unhideWhenUsed/>
    <w:rsid w:val="00DF6F19"/>
    <w:pPr>
      <w:spacing w:before="100" w:beforeAutospacing="1" w:after="360" w:line="360" w:lineRule="atLeast"/>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6207"/>
    <w:rPr>
      <w:sz w:val="16"/>
      <w:szCs w:val="16"/>
    </w:rPr>
  </w:style>
  <w:style w:type="paragraph" w:styleId="CommentText">
    <w:name w:val="annotation text"/>
    <w:basedOn w:val="Normal"/>
    <w:link w:val="CommentTextChar"/>
    <w:uiPriority w:val="99"/>
    <w:semiHidden/>
    <w:unhideWhenUsed/>
    <w:rsid w:val="00AF6207"/>
    <w:pPr>
      <w:spacing w:line="240" w:lineRule="auto"/>
    </w:pPr>
    <w:rPr>
      <w:sz w:val="20"/>
      <w:szCs w:val="20"/>
    </w:rPr>
  </w:style>
  <w:style w:type="character" w:customStyle="1" w:styleId="CommentTextChar">
    <w:name w:val="Comment Text Char"/>
    <w:basedOn w:val="DefaultParagraphFont"/>
    <w:link w:val="CommentText"/>
    <w:uiPriority w:val="99"/>
    <w:semiHidden/>
    <w:rsid w:val="00AF6207"/>
    <w:rPr>
      <w:sz w:val="20"/>
      <w:szCs w:val="20"/>
    </w:rPr>
  </w:style>
  <w:style w:type="paragraph" w:styleId="CommentSubject">
    <w:name w:val="annotation subject"/>
    <w:basedOn w:val="CommentText"/>
    <w:next w:val="CommentText"/>
    <w:link w:val="CommentSubjectChar"/>
    <w:uiPriority w:val="99"/>
    <w:semiHidden/>
    <w:unhideWhenUsed/>
    <w:rsid w:val="00AF6207"/>
    <w:rPr>
      <w:b/>
      <w:bCs/>
    </w:rPr>
  </w:style>
  <w:style w:type="character" w:customStyle="1" w:styleId="CommentSubjectChar">
    <w:name w:val="Comment Subject Char"/>
    <w:basedOn w:val="CommentTextChar"/>
    <w:link w:val="CommentSubject"/>
    <w:uiPriority w:val="99"/>
    <w:semiHidden/>
    <w:rsid w:val="00AF62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707446">
      <w:bodyDiv w:val="1"/>
      <w:marLeft w:val="0"/>
      <w:marRight w:val="0"/>
      <w:marTop w:val="0"/>
      <w:marBottom w:val="0"/>
      <w:divBdr>
        <w:top w:val="none" w:sz="0" w:space="0" w:color="auto"/>
        <w:left w:val="none" w:sz="0" w:space="0" w:color="auto"/>
        <w:bottom w:val="none" w:sz="0" w:space="0" w:color="auto"/>
        <w:right w:val="none" w:sz="0" w:space="0" w:color="auto"/>
      </w:divBdr>
      <w:divsChild>
        <w:div w:id="1198161730">
          <w:marLeft w:val="0"/>
          <w:marRight w:val="0"/>
          <w:marTop w:val="0"/>
          <w:marBottom w:val="0"/>
          <w:divBdr>
            <w:top w:val="none" w:sz="0" w:space="0" w:color="auto"/>
            <w:left w:val="none" w:sz="0" w:space="0" w:color="auto"/>
            <w:bottom w:val="none" w:sz="0" w:space="0" w:color="auto"/>
            <w:right w:val="none" w:sz="0" w:space="0" w:color="auto"/>
          </w:divBdr>
          <w:divsChild>
            <w:div w:id="2005087968">
              <w:marLeft w:val="0"/>
              <w:marRight w:val="-4050"/>
              <w:marTop w:val="0"/>
              <w:marBottom w:val="0"/>
              <w:divBdr>
                <w:top w:val="none" w:sz="0" w:space="0" w:color="auto"/>
                <w:left w:val="none" w:sz="0" w:space="0" w:color="auto"/>
                <w:bottom w:val="none" w:sz="0" w:space="0" w:color="auto"/>
                <w:right w:val="none" w:sz="0" w:space="0" w:color="auto"/>
              </w:divBdr>
              <w:divsChild>
                <w:div w:id="1298727699">
                  <w:marLeft w:val="0"/>
                  <w:marRight w:val="4335"/>
                  <w:marTop w:val="0"/>
                  <w:marBottom w:val="0"/>
                  <w:divBdr>
                    <w:top w:val="none" w:sz="0" w:space="0" w:color="auto"/>
                    <w:left w:val="none" w:sz="0" w:space="0" w:color="auto"/>
                    <w:bottom w:val="none" w:sz="0" w:space="0" w:color="auto"/>
                    <w:right w:val="none" w:sz="0" w:space="0" w:color="auto"/>
                  </w:divBdr>
                  <w:divsChild>
                    <w:div w:id="1397513615">
                      <w:marLeft w:val="0"/>
                      <w:marRight w:val="0"/>
                      <w:marTop w:val="0"/>
                      <w:marBottom w:val="0"/>
                      <w:divBdr>
                        <w:top w:val="none" w:sz="0" w:space="0" w:color="auto"/>
                        <w:left w:val="none" w:sz="0" w:space="0" w:color="auto"/>
                        <w:bottom w:val="none" w:sz="0" w:space="0" w:color="auto"/>
                        <w:right w:val="none" w:sz="0" w:space="0" w:color="auto"/>
                      </w:divBdr>
                      <w:divsChild>
                        <w:div w:id="370569449">
                          <w:marLeft w:val="0"/>
                          <w:marRight w:val="0"/>
                          <w:marTop w:val="0"/>
                          <w:marBottom w:val="0"/>
                          <w:divBdr>
                            <w:top w:val="none" w:sz="0" w:space="0" w:color="auto"/>
                            <w:left w:val="none" w:sz="0" w:space="0" w:color="auto"/>
                            <w:bottom w:val="single" w:sz="6" w:space="12" w:color="E4ECF4"/>
                            <w:right w:val="none" w:sz="0" w:space="0" w:color="auto"/>
                          </w:divBdr>
                        </w:div>
                      </w:divsChild>
                    </w:div>
                  </w:divsChild>
                </w:div>
              </w:divsChild>
            </w:div>
          </w:divsChild>
        </w:div>
      </w:divsChild>
    </w:div>
    <w:div w:id="1216697140">
      <w:bodyDiv w:val="1"/>
      <w:marLeft w:val="0"/>
      <w:marRight w:val="0"/>
      <w:marTop w:val="0"/>
      <w:marBottom w:val="0"/>
      <w:divBdr>
        <w:top w:val="none" w:sz="0" w:space="0" w:color="auto"/>
        <w:left w:val="none" w:sz="0" w:space="0" w:color="auto"/>
        <w:bottom w:val="none" w:sz="0" w:space="0" w:color="auto"/>
        <w:right w:val="none" w:sz="0" w:space="0" w:color="auto"/>
      </w:divBdr>
      <w:divsChild>
        <w:div w:id="1491481622">
          <w:marLeft w:val="0"/>
          <w:marRight w:val="0"/>
          <w:marTop w:val="0"/>
          <w:marBottom w:val="0"/>
          <w:divBdr>
            <w:top w:val="none" w:sz="0" w:space="0" w:color="auto"/>
            <w:left w:val="none" w:sz="0" w:space="0" w:color="auto"/>
            <w:bottom w:val="none" w:sz="0" w:space="0" w:color="auto"/>
            <w:right w:val="none" w:sz="0" w:space="0" w:color="auto"/>
          </w:divBdr>
          <w:divsChild>
            <w:div w:id="1186822115">
              <w:marLeft w:val="0"/>
              <w:marRight w:val="0"/>
              <w:marTop w:val="0"/>
              <w:marBottom w:val="0"/>
              <w:divBdr>
                <w:top w:val="none" w:sz="0" w:space="0" w:color="auto"/>
                <w:left w:val="none" w:sz="0" w:space="0" w:color="auto"/>
                <w:bottom w:val="none" w:sz="0" w:space="0" w:color="auto"/>
                <w:right w:val="none" w:sz="0" w:space="0" w:color="auto"/>
              </w:divBdr>
              <w:divsChild>
                <w:div w:id="1188134035">
                  <w:marLeft w:val="0"/>
                  <w:marRight w:val="0"/>
                  <w:marTop w:val="0"/>
                  <w:marBottom w:val="0"/>
                  <w:divBdr>
                    <w:top w:val="none" w:sz="0" w:space="0" w:color="auto"/>
                    <w:left w:val="none" w:sz="0" w:space="0" w:color="auto"/>
                    <w:bottom w:val="none" w:sz="0" w:space="0" w:color="auto"/>
                    <w:right w:val="none" w:sz="0" w:space="0" w:color="auto"/>
                  </w:divBdr>
                  <w:divsChild>
                    <w:div w:id="134227379">
                      <w:marLeft w:val="0"/>
                      <w:marRight w:val="0"/>
                      <w:marTop w:val="0"/>
                      <w:marBottom w:val="0"/>
                      <w:divBdr>
                        <w:top w:val="none" w:sz="0" w:space="0" w:color="auto"/>
                        <w:left w:val="none" w:sz="0" w:space="0" w:color="auto"/>
                        <w:bottom w:val="none" w:sz="0" w:space="0" w:color="auto"/>
                        <w:right w:val="none" w:sz="0" w:space="0" w:color="auto"/>
                      </w:divBdr>
                      <w:divsChild>
                        <w:div w:id="1167746365">
                          <w:marLeft w:val="0"/>
                          <w:marRight w:val="0"/>
                          <w:marTop w:val="0"/>
                          <w:marBottom w:val="0"/>
                          <w:divBdr>
                            <w:top w:val="none" w:sz="0" w:space="0" w:color="auto"/>
                            <w:left w:val="none" w:sz="0" w:space="0" w:color="auto"/>
                            <w:bottom w:val="none" w:sz="0" w:space="0" w:color="auto"/>
                            <w:right w:val="none" w:sz="0" w:space="0" w:color="auto"/>
                          </w:divBdr>
                          <w:divsChild>
                            <w:div w:id="1653829311">
                              <w:marLeft w:val="0"/>
                              <w:marRight w:val="0"/>
                              <w:marTop w:val="0"/>
                              <w:marBottom w:val="0"/>
                              <w:divBdr>
                                <w:top w:val="none" w:sz="0" w:space="0" w:color="auto"/>
                                <w:left w:val="none" w:sz="0" w:space="0" w:color="auto"/>
                                <w:bottom w:val="none" w:sz="0" w:space="0" w:color="auto"/>
                                <w:right w:val="none" w:sz="0" w:space="0" w:color="auto"/>
                              </w:divBdr>
                              <w:divsChild>
                                <w:div w:id="446437530">
                                  <w:marLeft w:val="0"/>
                                  <w:marRight w:val="0"/>
                                  <w:marTop w:val="0"/>
                                  <w:marBottom w:val="0"/>
                                  <w:divBdr>
                                    <w:top w:val="none" w:sz="0" w:space="0" w:color="auto"/>
                                    <w:left w:val="none" w:sz="0" w:space="0" w:color="auto"/>
                                    <w:bottom w:val="none" w:sz="0" w:space="0" w:color="auto"/>
                                    <w:right w:val="none" w:sz="0" w:space="0" w:color="auto"/>
                                  </w:divBdr>
                                  <w:divsChild>
                                    <w:div w:id="1633248360">
                                      <w:marLeft w:val="0"/>
                                      <w:marRight w:val="0"/>
                                      <w:marTop w:val="0"/>
                                      <w:marBottom w:val="450"/>
                                      <w:divBdr>
                                        <w:top w:val="none" w:sz="0" w:space="0" w:color="auto"/>
                                        <w:left w:val="none" w:sz="0" w:space="0" w:color="auto"/>
                                        <w:bottom w:val="none" w:sz="0" w:space="0" w:color="auto"/>
                                        <w:right w:val="none" w:sz="0" w:space="0" w:color="auto"/>
                                      </w:divBdr>
                                      <w:divsChild>
                                        <w:div w:id="710047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E6C1A-C571-402A-8BBA-8B04EEB0B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bryn parry</cp:lastModifiedBy>
  <cp:revision>136</cp:revision>
  <dcterms:created xsi:type="dcterms:W3CDTF">2019-01-14T16:57:00Z</dcterms:created>
  <dcterms:modified xsi:type="dcterms:W3CDTF">2019-03-11T19:31:00Z</dcterms:modified>
</cp:coreProperties>
</file>