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C9DA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813B05D" wp14:editId="1661AEF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10A057D" w14:textId="77777777" w:rsidR="00607874" w:rsidRDefault="00F26C7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C82D329" wp14:editId="01EBAF0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549248" w14:textId="77777777" w:rsidR="00405895" w:rsidRDefault="00405895" w:rsidP="00405895">
                            <w:pPr>
                              <w:jc w:val="center"/>
                              <w:rPr>
                                <w:b/>
                                <w:bCs/>
                                <w:color w:val="002060"/>
                                <w:sz w:val="44"/>
                                <w:szCs w:val="40"/>
                              </w:rPr>
                            </w:pPr>
                            <w:r>
                              <w:rPr>
                                <w:b/>
                                <w:bCs/>
                                <w:color w:val="002060"/>
                                <w:sz w:val="44"/>
                                <w:szCs w:val="40"/>
                              </w:rPr>
                              <w:t>Assignment Cover Sheet</w:t>
                            </w:r>
                          </w:p>
                          <w:p w14:paraId="1F7CB60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82D32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8549248" w14:textId="77777777" w:rsidR="00405895" w:rsidRDefault="00405895" w:rsidP="00405895">
                      <w:pPr>
                        <w:jc w:val="center"/>
                        <w:rPr>
                          <w:b/>
                          <w:bCs/>
                          <w:color w:val="002060"/>
                          <w:sz w:val="44"/>
                          <w:szCs w:val="40"/>
                        </w:rPr>
                      </w:pPr>
                      <w:r>
                        <w:rPr>
                          <w:b/>
                          <w:bCs/>
                          <w:color w:val="002060"/>
                          <w:sz w:val="44"/>
                          <w:szCs w:val="40"/>
                        </w:rPr>
                        <w:t>Assignment Cover Sheet</w:t>
                      </w:r>
                    </w:p>
                    <w:p w14:paraId="1F7CB604" w14:textId="77777777" w:rsidR="00405895" w:rsidRDefault="00405895"/>
                  </w:txbxContent>
                </v:textbox>
              </v:shape>
            </w:pict>
          </mc:Fallback>
        </mc:AlternateContent>
      </w:r>
    </w:p>
    <w:p w14:paraId="488147C1" w14:textId="77777777" w:rsidR="00607874" w:rsidRDefault="00607874" w:rsidP="00A851DA">
      <w:pPr>
        <w:rPr>
          <w:lang w:val="en-US"/>
        </w:rPr>
      </w:pPr>
    </w:p>
    <w:p w14:paraId="22AA8B8F" w14:textId="77777777" w:rsidR="00607874" w:rsidRDefault="00607874" w:rsidP="00A851DA">
      <w:pPr>
        <w:rPr>
          <w:lang w:val="en-US"/>
        </w:rPr>
      </w:pPr>
    </w:p>
    <w:p w14:paraId="03B8BBA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92A3F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02B85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06621C4" w14:textId="77777777" w:rsidR="00A851DA" w:rsidRPr="00B0415E" w:rsidRDefault="00EB1718">
            <w:pPr>
              <w:pStyle w:val="Default"/>
              <w:rPr>
                <w:rFonts w:asciiTheme="minorHAnsi" w:hAnsiTheme="minorHAnsi"/>
              </w:rPr>
            </w:pPr>
            <w:r>
              <w:rPr>
                <w:rFonts w:asciiTheme="minorHAnsi" w:hAnsiTheme="minorHAnsi"/>
              </w:rPr>
              <w:t>Herman Louw</w:t>
            </w:r>
          </w:p>
        </w:tc>
      </w:tr>
      <w:tr w:rsidR="00A851DA" w:rsidRPr="00B0415E" w14:paraId="4640BAF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CC85A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52F64F4" w14:textId="77777777" w:rsidR="00A851DA" w:rsidRPr="00B0415E" w:rsidRDefault="00EB1718">
            <w:pPr>
              <w:pStyle w:val="Default"/>
              <w:rPr>
                <w:rFonts w:asciiTheme="minorHAnsi" w:hAnsiTheme="minorHAnsi"/>
              </w:rPr>
            </w:pPr>
            <w:r>
              <w:rPr>
                <w:rFonts w:asciiTheme="minorHAnsi" w:hAnsiTheme="minorHAnsi"/>
              </w:rPr>
              <w:t>12927</w:t>
            </w:r>
          </w:p>
        </w:tc>
      </w:tr>
      <w:tr w:rsidR="00A851DA" w:rsidRPr="00B0415E" w14:paraId="729F527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512C6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1227997" w14:textId="77777777" w:rsidR="00A851DA" w:rsidRPr="00B0415E" w:rsidRDefault="00EB1718">
            <w:pPr>
              <w:pStyle w:val="Default"/>
              <w:rPr>
                <w:rFonts w:asciiTheme="minorHAnsi" w:hAnsiTheme="minorHAnsi"/>
              </w:rPr>
            </w:pPr>
            <w:r>
              <w:rPr>
                <w:rFonts w:asciiTheme="minorHAnsi" w:hAnsiTheme="minorHAnsi"/>
              </w:rPr>
              <w:t>International Diploma in Project Management</w:t>
            </w:r>
          </w:p>
        </w:tc>
      </w:tr>
      <w:tr w:rsidR="00A851DA" w:rsidRPr="00B0415E" w14:paraId="04014B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2BC3C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B025846" w14:textId="30416EC8" w:rsidR="00A851DA" w:rsidRPr="00B0415E" w:rsidRDefault="00EB1718">
            <w:r>
              <w:t xml:space="preserve">Unit </w:t>
            </w:r>
            <w:r w:rsidR="00202FF6">
              <w:t>1</w:t>
            </w:r>
            <w:r w:rsidR="00866512">
              <w:t>1</w:t>
            </w:r>
          </w:p>
        </w:tc>
      </w:tr>
    </w:tbl>
    <w:p w14:paraId="40A7031C" w14:textId="77777777" w:rsidR="00CC2FB3" w:rsidRDefault="00CC2FB3" w:rsidP="00A851DA">
      <w:pPr>
        <w:rPr>
          <w:b/>
          <w:lang w:val="en-US"/>
        </w:rPr>
      </w:pPr>
    </w:p>
    <w:p w14:paraId="622F2748" w14:textId="77777777" w:rsidR="00443E6F" w:rsidRDefault="00527C11" w:rsidP="00A851DA">
      <w:pPr>
        <w:rPr>
          <w:b/>
          <w:sz w:val="28"/>
          <w:lang w:val="en-US"/>
        </w:rPr>
      </w:pPr>
      <w:r w:rsidRPr="00443E6F">
        <w:rPr>
          <w:b/>
          <w:sz w:val="28"/>
          <w:lang w:val="en-US"/>
        </w:rPr>
        <w:t>Marking Criteria:</w:t>
      </w:r>
    </w:p>
    <w:p w14:paraId="4602D464" w14:textId="77777777"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59AD4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E6793D0" w14:textId="77777777" w:rsidTr="00624A05">
        <w:tc>
          <w:tcPr>
            <w:tcW w:w="9016" w:type="dxa"/>
          </w:tcPr>
          <w:p w14:paraId="3AC15D68" w14:textId="7AC9E5BF" w:rsidR="007C450D" w:rsidRDefault="0038587F" w:rsidP="009B0256">
            <w:pPr>
              <w:spacing w:line="360" w:lineRule="auto"/>
              <w:jc w:val="both"/>
              <w:rPr>
                <w:rFonts w:ascii="Arial" w:hAnsi="Arial" w:cs="Arial"/>
                <w:b/>
                <w:sz w:val="24"/>
                <w:szCs w:val="24"/>
              </w:rPr>
            </w:pPr>
            <w:r>
              <w:rPr>
                <w:rFonts w:ascii="Arial" w:hAnsi="Arial" w:cs="Arial"/>
                <w:b/>
                <w:sz w:val="24"/>
                <w:szCs w:val="24"/>
              </w:rPr>
              <w:t xml:space="preserve">ASSESSMENT </w:t>
            </w:r>
            <w:r w:rsidR="00202FF6">
              <w:rPr>
                <w:rFonts w:ascii="Arial" w:hAnsi="Arial" w:cs="Arial"/>
                <w:b/>
                <w:sz w:val="24"/>
                <w:szCs w:val="24"/>
              </w:rPr>
              <w:t>1</w:t>
            </w:r>
            <w:r w:rsidR="009D0524">
              <w:rPr>
                <w:rFonts w:ascii="Arial" w:hAnsi="Arial" w:cs="Arial"/>
                <w:b/>
                <w:sz w:val="24"/>
                <w:szCs w:val="24"/>
              </w:rPr>
              <w:t>1</w:t>
            </w:r>
            <w:bookmarkStart w:id="0" w:name="_GoBack"/>
            <w:bookmarkEnd w:id="0"/>
            <w:r w:rsidRPr="004C75E7">
              <w:rPr>
                <w:rFonts w:ascii="Arial" w:hAnsi="Arial" w:cs="Arial"/>
                <w:b/>
                <w:sz w:val="24"/>
                <w:szCs w:val="24"/>
              </w:rPr>
              <w:t>:</w:t>
            </w:r>
          </w:p>
          <w:p w14:paraId="5A4AD6F1" w14:textId="77777777" w:rsidR="007A3468" w:rsidRDefault="007A3468" w:rsidP="007A3468">
            <w:pPr>
              <w:pStyle w:val="ListParagraph"/>
              <w:numPr>
                <w:ilvl w:val="0"/>
                <w:numId w:val="1"/>
              </w:numPr>
              <w:spacing w:line="360" w:lineRule="auto"/>
              <w:ind w:left="714" w:hanging="357"/>
              <w:jc w:val="both"/>
              <w:rPr>
                <w:rFonts w:ascii="Arial" w:hAnsi="Arial" w:cs="Arial"/>
                <w:sz w:val="24"/>
                <w:szCs w:val="24"/>
              </w:rPr>
            </w:pPr>
            <w:bookmarkStart w:id="1" w:name="_Hlk505853188"/>
          </w:p>
          <w:bookmarkEnd w:id="1"/>
          <w:p w14:paraId="0424D4DD" w14:textId="531166A9" w:rsidR="007A3468" w:rsidRDefault="007A3468" w:rsidP="00F77C73">
            <w:pPr>
              <w:pStyle w:val="ListParagraph"/>
              <w:numPr>
                <w:ilvl w:val="1"/>
                <w:numId w:val="2"/>
              </w:numPr>
              <w:spacing w:line="360" w:lineRule="auto"/>
              <w:ind w:left="1434" w:hanging="357"/>
              <w:jc w:val="both"/>
              <w:rPr>
                <w:rFonts w:ascii="Arial" w:hAnsi="Arial" w:cs="Arial"/>
                <w:color w:val="000000"/>
                <w:sz w:val="24"/>
                <w:szCs w:val="24"/>
              </w:rPr>
            </w:pPr>
            <w:r w:rsidRPr="002F6BC7">
              <w:rPr>
                <w:rFonts w:ascii="Arial" w:hAnsi="Arial" w:cs="Arial"/>
                <w:color w:val="000000"/>
                <w:sz w:val="24"/>
                <w:szCs w:val="24"/>
                <w:u w:val="single"/>
              </w:rPr>
              <w:t>Risk Management</w:t>
            </w:r>
            <w:r w:rsidRPr="00E84B92">
              <w:rPr>
                <w:rFonts w:ascii="Arial" w:hAnsi="Arial" w:cs="Arial"/>
                <w:color w:val="000000"/>
                <w:sz w:val="24"/>
                <w:szCs w:val="24"/>
              </w:rPr>
              <w:t xml:space="preserve"> is about applying various techniques to systematically identify opportunities or threats to a project’s objectives, to develop ways to respond to those risks, </w:t>
            </w:r>
            <w:r>
              <w:rPr>
                <w:rFonts w:ascii="Arial" w:hAnsi="Arial" w:cs="Arial"/>
                <w:color w:val="000000"/>
                <w:sz w:val="24"/>
                <w:szCs w:val="24"/>
              </w:rPr>
              <w:t xml:space="preserve">and </w:t>
            </w:r>
            <w:r w:rsidRPr="00E84B92">
              <w:rPr>
                <w:rFonts w:ascii="Arial" w:hAnsi="Arial" w:cs="Arial"/>
                <w:color w:val="000000"/>
                <w:sz w:val="24"/>
                <w:szCs w:val="24"/>
              </w:rPr>
              <w:t>review the effectiveness of risk management strategies used</w:t>
            </w:r>
            <w:r>
              <w:rPr>
                <w:rFonts w:ascii="Arial" w:hAnsi="Arial" w:cs="Arial"/>
                <w:color w:val="000000"/>
                <w:sz w:val="24"/>
                <w:szCs w:val="24"/>
              </w:rPr>
              <w:t>.</w:t>
            </w:r>
            <w:r w:rsidRPr="00E84B92">
              <w:rPr>
                <w:rFonts w:ascii="Arial" w:hAnsi="Arial" w:cs="Arial"/>
                <w:color w:val="000000"/>
                <w:sz w:val="24"/>
                <w:szCs w:val="24"/>
              </w:rPr>
              <w:t xml:space="preserve"> There are risks associated with every project, however not all risks can be eliminated, but they can be managed effectively throughout the project life cycle.</w:t>
            </w:r>
            <w:r>
              <w:rPr>
                <w:rFonts w:ascii="Arial" w:hAnsi="Arial" w:cs="Arial"/>
                <w:color w:val="000000"/>
                <w:sz w:val="24"/>
                <w:szCs w:val="24"/>
              </w:rPr>
              <w:t xml:space="preserve"> </w:t>
            </w:r>
            <w:r w:rsidRPr="00E84B92">
              <w:rPr>
                <w:rFonts w:ascii="Arial" w:hAnsi="Arial" w:cs="Arial"/>
                <w:color w:val="000000"/>
                <w:sz w:val="24"/>
                <w:szCs w:val="24"/>
              </w:rPr>
              <w:t xml:space="preserve">Project risk management process can be broken down into </w:t>
            </w:r>
            <w:r>
              <w:rPr>
                <w:rFonts w:ascii="Arial" w:hAnsi="Arial" w:cs="Arial"/>
                <w:color w:val="000000"/>
                <w:sz w:val="24"/>
                <w:szCs w:val="24"/>
              </w:rPr>
              <w:t xml:space="preserve">the followings </w:t>
            </w:r>
            <w:r w:rsidRPr="00E84B92">
              <w:rPr>
                <w:rFonts w:ascii="Arial" w:hAnsi="Arial" w:cs="Arial"/>
                <w:color w:val="000000"/>
                <w:sz w:val="24"/>
                <w:szCs w:val="24"/>
              </w:rPr>
              <w:t>phases</w:t>
            </w:r>
            <w:r>
              <w:rPr>
                <w:rFonts w:ascii="Arial" w:hAnsi="Arial" w:cs="Arial"/>
                <w:color w:val="000000"/>
                <w:sz w:val="24"/>
                <w:szCs w:val="24"/>
              </w:rPr>
              <w:t xml:space="preserve"> (or activities)</w:t>
            </w:r>
            <w:r w:rsidRPr="00E84B92">
              <w:rPr>
                <w:rFonts w:ascii="Arial" w:hAnsi="Arial" w:cs="Arial"/>
                <w:color w:val="000000"/>
                <w:sz w:val="24"/>
                <w:szCs w:val="24"/>
              </w:rPr>
              <w:t>, namely (</w:t>
            </w:r>
            <w:proofErr w:type="spellStart"/>
            <w:r w:rsidRPr="00E84B92">
              <w:rPr>
                <w:rFonts w:ascii="Arial" w:hAnsi="Arial" w:cs="Arial"/>
                <w:color w:val="000000"/>
                <w:sz w:val="24"/>
                <w:szCs w:val="24"/>
              </w:rPr>
              <w:t>i</w:t>
            </w:r>
            <w:proofErr w:type="spellEnd"/>
            <w:r w:rsidRPr="00E84B92">
              <w:rPr>
                <w:rFonts w:ascii="Arial" w:hAnsi="Arial" w:cs="Arial"/>
                <w:color w:val="000000"/>
                <w:sz w:val="24"/>
                <w:szCs w:val="24"/>
              </w:rPr>
              <w:t>) risk management planning, (ii) risk identification, (iii) risk analysis, (iv) risk</w:t>
            </w:r>
            <w:r>
              <w:rPr>
                <w:rFonts w:ascii="Arial" w:hAnsi="Arial" w:cs="Arial"/>
                <w:color w:val="000000"/>
                <w:sz w:val="24"/>
                <w:szCs w:val="24"/>
              </w:rPr>
              <w:t xml:space="preserve"> evaluation</w:t>
            </w:r>
            <w:r w:rsidRPr="00E84B92">
              <w:rPr>
                <w:rFonts w:ascii="Arial" w:hAnsi="Arial" w:cs="Arial"/>
                <w:color w:val="000000"/>
                <w:sz w:val="24"/>
                <w:szCs w:val="24"/>
              </w:rPr>
              <w:t>, (v) risk response planning,</w:t>
            </w:r>
            <w:r>
              <w:rPr>
                <w:rFonts w:ascii="Arial" w:hAnsi="Arial" w:cs="Arial"/>
                <w:color w:val="000000"/>
                <w:sz w:val="24"/>
                <w:szCs w:val="24"/>
              </w:rPr>
              <w:t xml:space="preserve"> </w:t>
            </w:r>
            <w:r w:rsidRPr="00E84B92">
              <w:rPr>
                <w:rFonts w:ascii="Arial" w:hAnsi="Arial" w:cs="Arial"/>
                <w:color w:val="000000"/>
                <w:sz w:val="24"/>
                <w:szCs w:val="24"/>
              </w:rPr>
              <w:t xml:space="preserve">(vi) risk </w:t>
            </w:r>
            <w:r>
              <w:rPr>
                <w:rFonts w:ascii="Arial" w:hAnsi="Arial" w:cs="Arial"/>
                <w:color w:val="000000"/>
                <w:sz w:val="24"/>
                <w:szCs w:val="24"/>
              </w:rPr>
              <w:t xml:space="preserve">treatment, (vii) risk </w:t>
            </w:r>
            <w:r w:rsidRPr="00E84B92">
              <w:rPr>
                <w:rFonts w:ascii="Arial" w:hAnsi="Arial" w:cs="Arial"/>
                <w:color w:val="000000"/>
                <w:sz w:val="24"/>
                <w:szCs w:val="24"/>
              </w:rPr>
              <w:t>monitoring and control</w:t>
            </w:r>
            <w:r>
              <w:rPr>
                <w:rFonts w:ascii="Arial" w:hAnsi="Arial" w:cs="Arial"/>
                <w:color w:val="000000"/>
                <w:sz w:val="24"/>
                <w:szCs w:val="24"/>
              </w:rPr>
              <w:t xml:space="preserve">ling, (viii) communication with stakeholders, and (ix) reviewing risk management activities on a project. Usually at the conclusion of the project, a formal review of all the risk management activities used in the project is undertaken to identify continues improvement issues and lessons that can be applied to future projects to improve </w:t>
            </w:r>
            <w:r>
              <w:rPr>
                <w:rFonts w:ascii="Arial" w:hAnsi="Arial" w:cs="Arial"/>
                <w:color w:val="000000"/>
                <w:sz w:val="24"/>
                <w:szCs w:val="24"/>
              </w:rPr>
              <w:lastRenderedPageBreak/>
              <w:t>organizational</w:t>
            </w:r>
            <w:r>
              <w:rPr>
                <w:rFonts w:ascii="Arial" w:hAnsi="Arial" w:cs="Arial"/>
                <w:color w:val="000000"/>
                <w:sz w:val="24"/>
                <w:szCs w:val="24"/>
              </w:rPr>
              <w:t xml:space="preserve"> performance.  Here’s an overview of the main components of risk management process:</w:t>
            </w:r>
          </w:p>
          <w:p w14:paraId="1406D8B0" w14:textId="77777777" w:rsidR="007A3468" w:rsidRDefault="007A3468" w:rsidP="007A3468">
            <w:pPr>
              <w:spacing w:line="360" w:lineRule="auto"/>
              <w:jc w:val="right"/>
              <w:rPr>
                <w:rFonts w:ascii="Arial" w:hAnsi="Arial" w:cs="Arial"/>
                <w:color w:val="000000"/>
                <w:sz w:val="24"/>
                <w:szCs w:val="24"/>
              </w:rPr>
            </w:pPr>
            <w:r>
              <w:rPr>
                <w:rFonts w:ascii="Arial" w:hAnsi="Arial" w:cs="Arial"/>
                <w:noProof/>
                <w:color w:val="000000"/>
                <w:sz w:val="24"/>
                <w:szCs w:val="24"/>
              </w:rPr>
              <w:drawing>
                <wp:inline distT="0" distB="0" distL="0" distR="0" wp14:anchorId="563E85B5" wp14:editId="379C62DF">
                  <wp:extent cx="4895850" cy="2895600"/>
                  <wp:effectExtent l="0" t="0" r="0" b="1905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5B38677" w14:textId="54666CF3" w:rsidR="007A3468" w:rsidRDefault="007A3468" w:rsidP="007A3468">
            <w:pPr>
              <w:spacing w:line="360" w:lineRule="auto"/>
              <w:rPr>
                <w:rFonts w:ascii="Arial" w:hAnsi="Arial" w:cs="Arial"/>
                <w:color w:val="000000"/>
                <w:sz w:val="24"/>
                <w:szCs w:val="24"/>
              </w:rPr>
            </w:pPr>
          </w:p>
          <w:p w14:paraId="786E8968" w14:textId="77777777" w:rsidR="007A3468" w:rsidRPr="007A552E" w:rsidRDefault="007A3468" w:rsidP="007A3468">
            <w:pPr>
              <w:spacing w:line="360" w:lineRule="auto"/>
              <w:rPr>
                <w:rFonts w:ascii="Arial" w:hAnsi="Arial" w:cs="Arial"/>
                <w:color w:val="000000"/>
                <w:sz w:val="24"/>
                <w:szCs w:val="24"/>
              </w:rPr>
            </w:pPr>
          </w:p>
          <w:p w14:paraId="333A7BB7" w14:textId="77777777" w:rsidR="007A3468" w:rsidRPr="00B25877" w:rsidRDefault="007A3468" w:rsidP="00F77C73">
            <w:pPr>
              <w:pStyle w:val="ListParagraph"/>
              <w:numPr>
                <w:ilvl w:val="1"/>
                <w:numId w:val="2"/>
              </w:numPr>
              <w:spacing w:line="360" w:lineRule="auto"/>
              <w:ind w:left="1434" w:hanging="357"/>
              <w:jc w:val="both"/>
              <w:rPr>
                <w:rFonts w:ascii="Arial" w:hAnsi="Arial" w:cs="Arial"/>
                <w:color w:val="000000"/>
                <w:sz w:val="24"/>
                <w:szCs w:val="24"/>
              </w:rPr>
            </w:pPr>
            <w:r w:rsidRPr="002F6BC7">
              <w:rPr>
                <w:rFonts w:ascii="Arial" w:hAnsi="Arial" w:cs="Arial"/>
                <w:color w:val="000000"/>
                <w:sz w:val="24"/>
                <w:szCs w:val="24"/>
                <w:u w:val="single"/>
              </w:rPr>
              <w:t>Risk Tolerance</w:t>
            </w:r>
            <w:r w:rsidRPr="00B25877">
              <w:rPr>
                <w:rFonts w:ascii="Arial" w:hAnsi="Arial" w:cs="Arial"/>
                <w:color w:val="000000"/>
                <w:sz w:val="24"/>
                <w:szCs w:val="24"/>
              </w:rPr>
              <w:t xml:space="preserve"> tells you how sensitive the organization</w:t>
            </w:r>
            <w:r>
              <w:rPr>
                <w:rFonts w:ascii="Arial" w:hAnsi="Arial" w:cs="Arial"/>
                <w:color w:val="000000"/>
                <w:sz w:val="24"/>
                <w:szCs w:val="24"/>
              </w:rPr>
              <w:t>, stakeholders</w:t>
            </w:r>
            <w:r w:rsidRPr="00B25877">
              <w:rPr>
                <w:rFonts w:ascii="Arial" w:hAnsi="Arial" w:cs="Arial"/>
                <w:color w:val="000000"/>
                <w:sz w:val="24"/>
                <w:szCs w:val="24"/>
              </w:rPr>
              <w:t xml:space="preserve"> or people are to</w:t>
            </w:r>
            <w:r>
              <w:rPr>
                <w:rFonts w:ascii="Arial" w:hAnsi="Arial" w:cs="Arial"/>
                <w:color w:val="000000"/>
                <w:sz w:val="24"/>
                <w:szCs w:val="24"/>
              </w:rPr>
              <w:t>wards</w:t>
            </w:r>
            <w:r w:rsidRPr="00B25877">
              <w:rPr>
                <w:rFonts w:ascii="Arial" w:hAnsi="Arial" w:cs="Arial"/>
                <w:color w:val="000000"/>
                <w:sz w:val="24"/>
                <w:szCs w:val="24"/>
              </w:rPr>
              <w:t xml:space="preserve"> risks. Risks are essential elements in project management. They are uncertain events that may influence the project both positively and negatively. Organizations and stakeholders are willing to accepts or avoid risks at certain degrees,</w:t>
            </w:r>
            <w:r>
              <w:rPr>
                <w:rFonts w:ascii="Arial" w:hAnsi="Arial" w:cs="Arial"/>
                <w:color w:val="000000"/>
                <w:sz w:val="24"/>
                <w:szCs w:val="24"/>
              </w:rPr>
              <w:t xml:space="preserve"> and </w:t>
            </w:r>
            <w:r w:rsidRPr="00B25877">
              <w:rPr>
                <w:rFonts w:ascii="Arial" w:hAnsi="Arial" w:cs="Arial"/>
                <w:color w:val="000000"/>
                <w:sz w:val="24"/>
                <w:szCs w:val="24"/>
              </w:rPr>
              <w:t xml:space="preserve">their risk attitude is influenced by several factors including risk tolerance. Stakeholders will have different </w:t>
            </w:r>
            <w:r>
              <w:rPr>
                <w:rFonts w:ascii="Arial" w:hAnsi="Arial" w:cs="Arial"/>
                <w:color w:val="000000"/>
                <w:sz w:val="24"/>
                <w:szCs w:val="24"/>
              </w:rPr>
              <w:t xml:space="preserve">attitudes towards risk management based on their individual risk tolerance. </w:t>
            </w:r>
            <w:r w:rsidRPr="00B25877">
              <w:rPr>
                <w:rFonts w:ascii="Arial" w:hAnsi="Arial" w:cs="Arial"/>
                <w:color w:val="000000"/>
                <w:sz w:val="24"/>
                <w:szCs w:val="24"/>
              </w:rPr>
              <w:t>Risk tolerance is defined as the degree, volume or amount of risk that an organization can withstand. Organization’s project risk tolerances usually depend on the extent of financial stability and project diversification. High tolerance means that people are willing to take a high risk and low tolerance means that people are not willing to take many risks.</w:t>
            </w:r>
            <w:r>
              <w:rPr>
                <w:rFonts w:ascii="Arial" w:hAnsi="Arial" w:cs="Arial"/>
                <w:color w:val="000000"/>
                <w:sz w:val="24"/>
                <w:szCs w:val="24"/>
              </w:rPr>
              <w:t xml:space="preserve">  Stakeholders should be kept informed regularly of risk changes, risk management plan updates and reviews throughout the project, because their interest are directly affected by the outcomes of the project.</w:t>
            </w:r>
          </w:p>
          <w:p w14:paraId="41C93FE2" w14:textId="4E2ECEBF" w:rsidR="007A3468" w:rsidRDefault="007A3468" w:rsidP="007A3468">
            <w:pPr>
              <w:spacing w:line="360" w:lineRule="auto"/>
              <w:jc w:val="both"/>
              <w:rPr>
                <w:rFonts w:ascii="Arial" w:hAnsi="Arial" w:cs="Arial"/>
                <w:color w:val="000000"/>
                <w:sz w:val="24"/>
                <w:szCs w:val="24"/>
              </w:rPr>
            </w:pPr>
          </w:p>
          <w:p w14:paraId="74BE5597" w14:textId="44E68AC0" w:rsidR="007A3468" w:rsidRDefault="007A3468" w:rsidP="007A3468">
            <w:pPr>
              <w:spacing w:line="360" w:lineRule="auto"/>
              <w:jc w:val="both"/>
              <w:rPr>
                <w:rFonts w:ascii="Arial" w:hAnsi="Arial" w:cs="Arial"/>
                <w:color w:val="000000"/>
                <w:sz w:val="24"/>
                <w:szCs w:val="24"/>
              </w:rPr>
            </w:pPr>
          </w:p>
          <w:p w14:paraId="17813F4F" w14:textId="77777777" w:rsidR="007A3468" w:rsidRPr="007A552E" w:rsidRDefault="007A3468" w:rsidP="007A3468">
            <w:pPr>
              <w:spacing w:line="360" w:lineRule="auto"/>
              <w:jc w:val="both"/>
              <w:rPr>
                <w:rFonts w:ascii="Arial" w:hAnsi="Arial" w:cs="Arial"/>
                <w:color w:val="000000"/>
                <w:sz w:val="24"/>
                <w:szCs w:val="24"/>
              </w:rPr>
            </w:pPr>
          </w:p>
          <w:p w14:paraId="60A49E50" w14:textId="1DEE3A26" w:rsidR="007A3468" w:rsidRPr="000934B6" w:rsidRDefault="007A3468" w:rsidP="00F77C73">
            <w:pPr>
              <w:pStyle w:val="ListParagraph"/>
              <w:numPr>
                <w:ilvl w:val="1"/>
                <w:numId w:val="2"/>
              </w:numPr>
              <w:spacing w:line="360" w:lineRule="auto"/>
              <w:ind w:left="1434" w:hanging="357"/>
              <w:jc w:val="both"/>
              <w:rPr>
                <w:rFonts w:ascii="Arial" w:hAnsi="Arial" w:cs="Arial"/>
                <w:color w:val="000000"/>
                <w:sz w:val="24"/>
                <w:szCs w:val="24"/>
              </w:rPr>
            </w:pPr>
            <w:r w:rsidRPr="002F6BC7">
              <w:rPr>
                <w:rFonts w:ascii="Arial" w:hAnsi="Arial" w:cs="Arial"/>
                <w:color w:val="000000"/>
                <w:sz w:val="24"/>
                <w:szCs w:val="24"/>
                <w:u w:val="single"/>
              </w:rPr>
              <w:t>Risk Identification</w:t>
            </w:r>
            <w:r w:rsidRPr="000934B6">
              <w:rPr>
                <w:rFonts w:ascii="Arial" w:hAnsi="Arial" w:cs="Arial"/>
                <w:color w:val="000000"/>
                <w:sz w:val="24"/>
                <w:szCs w:val="24"/>
              </w:rPr>
              <w:t xml:space="preserve"> is probably the hardest </w:t>
            </w:r>
            <w:proofErr w:type="gramStart"/>
            <w:r w:rsidRPr="000934B6">
              <w:rPr>
                <w:rFonts w:ascii="Arial" w:hAnsi="Arial" w:cs="Arial"/>
                <w:color w:val="000000"/>
                <w:sz w:val="24"/>
                <w:szCs w:val="24"/>
              </w:rPr>
              <w:t>and also</w:t>
            </w:r>
            <w:proofErr w:type="gramEnd"/>
            <w:r w:rsidRPr="000934B6">
              <w:rPr>
                <w:rFonts w:ascii="Arial" w:hAnsi="Arial" w:cs="Arial"/>
                <w:color w:val="000000"/>
                <w:sz w:val="24"/>
                <w:szCs w:val="24"/>
              </w:rPr>
              <w:t xml:space="preserve"> most important part of the risk management process, because if you cannot identify a risk, it will be excluded from further analysis and, therefore you will probably not respond to it. Risk identification is the process of identifying (or determining) individual risks as well as the source of the overall risk that could potentially prevent the program or project from achieving its objectives. It also includes documenting their characteristics and communicating the concern to the relevant stakeholders before they become problems. Risk identification should occur both in the </w:t>
            </w:r>
            <w:r>
              <w:rPr>
                <w:rFonts w:ascii="Arial" w:hAnsi="Arial" w:cs="Arial"/>
                <w:color w:val="000000"/>
                <w:sz w:val="24"/>
                <w:szCs w:val="24"/>
              </w:rPr>
              <w:t>planning</w:t>
            </w:r>
            <w:r w:rsidRPr="000934B6">
              <w:rPr>
                <w:rFonts w:ascii="Arial" w:hAnsi="Arial" w:cs="Arial"/>
                <w:color w:val="000000"/>
                <w:sz w:val="24"/>
                <w:szCs w:val="24"/>
              </w:rPr>
              <w:t xml:space="preserve"> phase and be repeated throughout the project life cycle as new risks may emerge, while others may subside as the project proceeds. Risk identification is an iterative process and can be completed by the project manager, the project team or risk management team.  Various tools and techniques may be use that can guide the team to identify risks which include, brainstorming, reviewing previous project risk management documents, seeking expert opinion, interviewing, checklist, and </w:t>
            </w:r>
            <w:r w:rsidRPr="000934B6">
              <w:rPr>
                <w:rFonts w:ascii="Arial" w:hAnsi="Arial" w:cs="Arial"/>
                <w:color w:val="000000"/>
                <w:sz w:val="24"/>
                <w:szCs w:val="24"/>
              </w:rPr>
              <w:t>analyzing</w:t>
            </w:r>
            <w:r w:rsidRPr="000934B6">
              <w:rPr>
                <w:rFonts w:ascii="Arial" w:hAnsi="Arial" w:cs="Arial"/>
                <w:color w:val="000000"/>
                <w:sz w:val="24"/>
                <w:szCs w:val="24"/>
              </w:rPr>
              <w:t xml:space="preserve"> the assumptions in the project-scope document.</w:t>
            </w:r>
          </w:p>
          <w:p w14:paraId="6EA5BE2C" w14:textId="5819A5AC" w:rsidR="007A3468" w:rsidRDefault="007A3468" w:rsidP="007A3468">
            <w:pPr>
              <w:rPr>
                <w:rFonts w:ascii="Arial" w:hAnsi="Arial" w:cs="Arial"/>
                <w:color w:val="000000"/>
                <w:sz w:val="24"/>
                <w:szCs w:val="24"/>
              </w:rPr>
            </w:pPr>
            <w:r>
              <w:rPr>
                <w:rFonts w:ascii="Arial" w:hAnsi="Arial" w:cs="Arial"/>
                <w:color w:val="000000"/>
                <w:sz w:val="24"/>
                <w:szCs w:val="24"/>
              </w:rPr>
              <w:br w:type="page"/>
            </w:r>
          </w:p>
          <w:p w14:paraId="6AF58CAD" w14:textId="77777777" w:rsidR="007A3468" w:rsidRDefault="007A3468" w:rsidP="007A3468">
            <w:pPr>
              <w:rPr>
                <w:rFonts w:ascii="Arial" w:hAnsi="Arial" w:cs="Arial"/>
                <w:color w:val="000000"/>
                <w:sz w:val="24"/>
                <w:szCs w:val="24"/>
              </w:rPr>
            </w:pPr>
          </w:p>
          <w:p w14:paraId="677DA36E" w14:textId="7FF43EC9" w:rsidR="007A3468" w:rsidRPr="001467F9" w:rsidRDefault="007A3468" w:rsidP="00F77C73">
            <w:pPr>
              <w:pStyle w:val="ListParagraph"/>
              <w:numPr>
                <w:ilvl w:val="1"/>
                <w:numId w:val="2"/>
              </w:numPr>
              <w:spacing w:line="360" w:lineRule="auto"/>
              <w:ind w:left="1434" w:hanging="357"/>
              <w:jc w:val="both"/>
              <w:rPr>
                <w:rFonts w:ascii="Arial" w:hAnsi="Arial" w:cs="Arial"/>
                <w:color w:val="000000"/>
                <w:sz w:val="24"/>
                <w:szCs w:val="24"/>
              </w:rPr>
            </w:pPr>
            <w:r w:rsidRPr="002F6BC7">
              <w:rPr>
                <w:rFonts w:ascii="Arial" w:hAnsi="Arial" w:cs="Arial"/>
                <w:color w:val="000000"/>
                <w:sz w:val="24"/>
                <w:szCs w:val="24"/>
                <w:u w:val="single"/>
              </w:rPr>
              <w:t>Qualitative Risk Analysis</w:t>
            </w:r>
            <w:r w:rsidRPr="001467F9">
              <w:rPr>
                <w:rFonts w:ascii="Arial" w:hAnsi="Arial" w:cs="Arial"/>
                <w:color w:val="000000"/>
                <w:sz w:val="24"/>
                <w:szCs w:val="24"/>
              </w:rPr>
              <w:t xml:space="preserve"> is a subjective approach to prioritizing and organizing risks for further analysis or action by assessing and combining their probability of occurrence and po</w:t>
            </w:r>
            <w:r>
              <w:rPr>
                <w:rFonts w:ascii="Arial" w:hAnsi="Arial" w:cs="Arial"/>
                <w:color w:val="000000"/>
                <w:sz w:val="24"/>
                <w:szCs w:val="24"/>
              </w:rPr>
              <w:t>tential</w:t>
            </w:r>
            <w:r w:rsidRPr="001467F9">
              <w:rPr>
                <w:rFonts w:ascii="Arial" w:hAnsi="Arial" w:cs="Arial"/>
                <w:color w:val="000000"/>
                <w:sz w:val="24"/>
                <w:szCs w:val="24"/>
              </w:rPr>
              <w:t xml:space="preserve"> impact</w:t>
            </w:r>
            <w:r>
              <w:rPr>
                <w:rFonts w:ascii="Arial" w:hAnsi="Arial" w:cs="Arial"/>
                <w:color w:val="000000"/>
                <w:sz w:val="24"/>
                <w:szCs w:val="24"/>
              </w:rPr>
              <w:t xml:space="preserve"> based on agreed-upon characteristics</w:t>
            </w:r>
            <w:r w:rsidRPr="001467F9">
              <w:rPr>
                <w:rFonts w:ascii="Arial" w:hAnsi="Arial" w:cs="Arial"/>
                <w:color w:val="000000"/>
                <w:sz w:val="24"/>
                <w:szCs w:val="24"/>
              </w:rPr>
              <w:t xml:space="preserve">. Risk Analysis involves performing both qualitative and quantitative analysis as the basis for developing risk response strategies. However, qualitative analysis is usually performed before quantitative risk analysis because it is relatively quicker and easier to perform. The </w:t>
            </w:r>
            <w:r w:rsidRPr="001467F9">
              <w:rPr>
                <w:rFonts w:ascii="Arial" w:hAnsi="Arial" w:cs="Arial"/>
                <w:color w:val="000000"/>
                <w:sz w:val="24"/>
                <w:szCs w:val="24"/>
              </w:rPr>
              <w:t>goal</w:t>
            </w:r>
            <w:r w:rsidRPr="001467F9">
              <w:rPr>
                <w:rFonts w:ascii="Arial" w:hAnsi="Arial" w:cs="Arial"/>
                <w:color w:val="000000"/>
                <w:sz w:val="24"/>
                <w:szCs w:val="24"/>
              </w:rPr>
              <w:t xml:space="preserve"> of a qualitative risk assessment is to rate risks for their likelihood of occurring (probability) and consequences (impact) they may have on overall project objectives if </w:t>
            </w:r>
            <w:r w:rsidRPr="001467F9">
              <w:rPr>
                <w:rFonts w:ascii="Arial" w:hAnsi="Arial" w:cs="Arial"/>
                <w:color w:val="000000"/>
                <w:sz w:val="24"/>
                <w:szCs w:val="24"/>
              </w:rPr>
              <w:t>realized</w:t>
            </w:r>
            <w:r w:rsidRPr="001467F9">
              <w:rPr>
                <w:rFonts w:ascii="Arial" w:hAnsi="Arial" w:cs="Arial"/>
                <w:color w:val="000000"/>
                <w:sz w:val="24"/>
                <w:szCs w:val="24"/>
              </w:rPr>
              <w:t>.  Each risk should be ranked according to the severity of their potential consequence and likelihood.  A qualitative analysis allows the main risk sources of factors to be identified.</w:t>
            </w:r>
          </w:p>
          <w:p w14:paraId="59F3A021" w14:textId="77777777" w:rsidR="007A3468" w:rsidRDefault="007A3468" w:rsidP="007A3468">
            <w:pPr>
              <w:spacing w:line="360" w:lineRule="auto"/>
              <w:jc w:val="both"/>
              <w:rPr>
                <w:rFonts w:ascii="Arial" w:hAnsi="Arial" w:cs="Arial"/>
                <w:color w:val="000000"/>
                <w:sz w:val="24"/>
                <w:szCs w:val="24"/>
              </w:rPr>
            </w:pPr>
          </w:p>
          <w:p w14:paraId="740CAA34" w14:textId="1EB638E6" w:rsidR="007A3468" w:rsidRPr="007A3468" w:rsidRDefault="007A3468" w:rsidP="00F77C73">
            <w:pPr>
              <w:pStyle w:val="ListParagraph"/>
              <w:numPr>
                <w:ilvl w:val="1"/>
                <w:numId w:val="2"/>
              </w:numPr>
              <w:spacing w:line="360" w:lineRule="auto"/>
              <w:ind w:left="1434" w:hanging="357"/>
              <w:jc w:val="both"/>
              <w:rPr>
                <w:rFonts w:ascii="Arial" w:hAnsi="Arial" w:cs="Arial"/>
                <w:color w:val="000000"/>
                <w:sz w:val="24"/>
                <w:szCs w:val="24"/>
              </w:rPr>
            </w:pPr>
            <w:r w:rsidRPr="002F6BC7">
              <w:rPr>
                <w:rFonts w:ascii="Arial" w:hAnsi="Arial" w:cs="Arial"/>
                <w:color w:val="000000"/>
                <w:sz w:val="24"/>
                <w:szCs w:val="24"/>
                <w:u w:val="single"/>
              </w:rPr>
              <w:t>Decision Tree Method</w:t>
            </w:r>
            <w:r w:rsidRPr="00F82599">
              <w:rPr>
                <w:rFonts w:ascii="Arial" w:hAnsi="Arial" w:cs="Arial"/>
                <w:color w:val="000000"/>
                <w:sz w:val="24"/>
                <w:szCs w:val="24"/>
              </w:rPr>
              <w:t xml:space="preserve"> is a decision support tool that uses a tree-like model (or structure) of decisions and their possible consequences, including chance event outcomes, costs, and utility (Wikipedia, 2019). The decision tree is an appropriate method for making decisions when the future events are uncertain, using the probability and impact of all risks, and combining their effect to derive an overall project measure such as value or cost. This method is to determine which of the two decisions would be better. The decision tree method examines the cost and benefit of both decision outcomes and weighs the probability of success for the two decisions.  A decision tree is a flowchart-like structure (or diagram) with nodes and branches represents the outcome of each logical path of events for decision-making and uses expected monetary value analysis to help the organization identify the relative values of alternative actions.</w:t>
            </w:r>
            <w:r>
              <w:rPr>
                <w:rFonts w:ascii="Arial" w:hAnsi="Arial" w:cs="Arial"/>
                <w:color w:val="000000"/>
                <w:sz w:val="24"/>
                <w:szCs w:val="24"/>
              </w:rPr>
              <w:t xml:space="preserve"> </w:t>
            </w:r>
            <w:r w:rsidRPr="007A3468">
              <w:rPr>
                <w:rFonts w:ascii="Arial" w:hAnsi="Arial" w:cs="Arial"/>
                <w:color w:val="000000"/>
                <w:sz w:val="24"/>
                <w:szCs w:val="24"/>
              </w:rPr>
              <w:t>Here’s a few simple steps when using decision tree analysis, namely:</w:t>
            </w:r>
          </w:p>
          <w:p w14:paraId="24EA926A" w14:textId="77777777" w:rsidR="007A3468" w:rsidRDefault="007A3468" w:rsidP="00F77C73">
            <w:pPr>
              <w:pStyle w:val="ListParagraph"/>
              <w:numPr>
                <w:ilvl w:val="0"/>
                <w:numId w:val="5"/>
              </w:numPr>
              <w:spacing w:line="360" w:lineRule="auto"/>
              <w:ind w:left="2154" w:hanging="357"/>
              <w:rPr>
                <w:rFonts w:ascii="Arial" w:hAnsi="Arial" w:cs="Arial"/>
                <w:color w:val="000000"/>
                <w:sz w:val="24"/>
                <w:szCs w:val="24"/>
              </w:rPr>
            </w:pPr>
            <w:r>
              <w:rPr>
                <w:rFonts w:ascii="Arial" w:hAnsi="Arial" w:cs="Arial"/>
                <w:color w:val="000000"/>
                <w:sz w:val="24"/>
                <w:szCs w:val="24"/>
              </w:rPr>
              <w:t>Document a decision in a decision tree;</w:t>
            </w:r>
          </w:p>
          <w:p w14:paraId="55FFBA5B" w14:textId="77777777" w:rsidR="007A3468" w:rsidRDefault="007A3468" w:rsidP="00F77C73">
            <w:pPr>
              <w:pStyle w:val="ListParagraph"/>
              <w:numPr>
                <w:ilvl w:val="0"/>
                <w:numId w:val="5"/>
              </w:numPr>
              <w:spacing w:line="360" w:lineRule="auto"/>
              <w:ind w:left="2154" w:hanging="357"/>
              <w:rPr>
                <w:rFonts w:ascii="Arial" w:hAnsi="Arial" w:cs="Arial"/>
                <w:color w:val="000000"/>
                <w:sz w:val="24"/>
                <w:szCs w:val="24"/>
              </w:rPr>
            </w:pPr>
            <w:r>
              <w:rPr>
                <w:rFonts w:ascii="Arial" w:hAnsi="Arial" w:cs="Arial"/>
                <w:color w:val="000000"/>
                <w:sz w:val="24"/>
                <w:szCs w:val="24"/>
              </w:rPr>
              <w:t>Assign a probability of occurrence for the risk pertaining to that decision;</w:t>
            </w:r>
          </w:p>
          <w:p w14:paraId="4E9D2AB2" w14:textId="77777777" w:rsidR="007A3468" w:rsidRDefault="007A3468" w:rsidP="00F77C73">
            <w:pPr>
              <w:pStyle w:val="ListParagraph"/>
              <w:numPr>
                <w:ilvl w:val="0"/>
                <w:numId w:val="5"/>
              </w:numPr>
              <w:spacing w:line="360" w:lineRule="auto"/>
              <w:ind w:left="2154" w:hanging="357"/>
              <w:rPr>
                <w:rFonts w:ascii="Arial" w:hAnsi="Arial" w:cs="Arial"/>
                <w:color w:val="000000"/>
                <w:sz w:val="24"/>
                <w:szCs w:val="24"/>
              </w:rPr>
            </w:pPr>
            <w:r>
              <w:rPr>
                <w:rFonts w:ascii="Arial" w:hAnsi="Arial" w:cs="Arial"/>
                <w:color w:val="000000"/>
                <w:sz w:val="24"/>
                <w:szCs w:val="24"/>
              </w:rPr>
              <w:t>Assign monetary value of the impact of the risk when it occurs;</w:t>
            </w:r>
          </w:p>
          <w:p w14:paraId="7E7BCF3E" w14:textId="77777777" w:rsidR="007A3468" w:rsidRPr="003B014A" w:rsidRDefault="007A3468" w:rsidP="00F77C73">
            <w:pPr>
              <w:pStyle w:val="ListParagraph"/>
              <w:numPr>
                <w:ilvl w:val="0"/>
                <w:numId w:val="5"/>
              </w:numPr>
              <w:spacing w:line="360" w:lineRule="auto"/>
              <w:ind w:left="2154" w:hanging="357"/>
              <w:rPr>
                <w:rFonts w:ascii="Arial" w:hAnsi="Arial" w:cs="Arial"/>
                <w:color w:val="000000"/>
                <w:sz w:val="24"/>
                <w:szCs w:val="24"/>
              </w:rPr>
            </w:pPr>
            <w:r>
              <w:rPr>
                <w:rFonts w:ascii="Arial" w:hAnsi="Arial" w:cs="Arial"/>
                <w:color w:val="000000"/>
                <w:sz w:val="24"/>
                <w:szCs w:val="24"/>
              </w:rPr>
              <w:t>Compute the expected monetary value for each decision path.</w:t>
            </w:r>
          </w:p>
          <w:p w14:paraId="6ECA82E5" w14:textId="77777777" w:rsidR="007A3468" w:rsidRDefault="007A3468" w:rsidP="007A3468">
            <w:pPr>
              <w:pStyle w:val="ListParagraph"/>
              <w:spacing w:line="360" w:lineRule="auto"/>
              <w:ind w:left="0"/>
              <w:jc w:val="both"/>
              <w:rPr>
                <w:rFonts w:ascii="Arial" w:hAnsi="Arial" w:cs="Arial"/>
                <w:color w:val="000000"/>
                <w:sz w:val="24"/>
                <w:szCs w:val="24"/>
              </w:rPr>
            </w:pPr>
          </w:p>
          <w:p w14:paraId="6A0C7151" w14:textId="77777777" w:rsidR="007A3468" w:rsidRPr="00FE4D1F" w:rsidRDefault="007A3468" w:rsidP="007A3468">
            <w:pPr>
              <w:pStyle w:val="ListParagraph"/>
              <w:spacing w:line="360" w:lineRule="auto"/>
              <w:ind w:left="1434"/>
              <w:jc w:val="both"/>
              <w:rPr>
                <w:rFonts w:ascii="Arial" w:hAnsi="Arial" w:cs="Arial"/>
                <w:color w:val="000000"/>
                <w:sz w:val="24"/>
                <w:szCs w:val="24"/>
              </w:rPr>
            </w:pPr>
            <w:r w:rsidRPr="00FE4D1F">
              <w:rPr>
                <w:rFonts w:ascii="Arial" w:hAnsi="Arial" w:cs="Arial"/>
                <w:color w:val="000000"/>
                <w:sz w:val="24"/>
                <w:szCs w:val="24"/>
              </w:rPr>
              <w:t xml:space="preserve">The decision tree method </w:t>
            </w:r>
            <w:r>
              <w:rPr>
                <w:rFonts w:ascii="Arial" w:hAnsi="Arial" w:cs="Arial"/>
                <w:color w:val="000000"/>
                <w:sz w:val="24"/>
                <w:szCs w:val="24"/>
              </w:rPr>
              <w:t xml:space="preserve">also </w:t>
            </w:r>
            <w:r w:rsidRPr="00FE4D1F">
              <w:rPr>
                <w:rFonts w:ascii="Arial" w:hAnsi="Arial" w:cs="Arial"/>
                <w:color w:val="000000"/>
                <w:sz w:val="24"/>
                <w:szCs w:val="24"/>
              </w:rPr>
              <w:t>has several advantages (or strengths) and disadvantages (or weaknesses), namely:</w:t>
            </w:r>
          </w:p>
          <w:p w14:paraId="7A642071" w14:textId="77777777" w:rsidR="007A3468" w:rsidRDefault="007A3468" w:rsidP="007A3468">
            <w:pPr>
              <w:pStyle w:val="ListParagraph"/>
              <w:spacing w:line="360" w:lineRule="auto"/>
              <w:ind w:left="1435"/>
              <w:jc w:val="both"/>
              <w:rPr>
                <w:rFonts w:ascii="Arial" w:hAnsi="Arial" w:cs="Arial"/>
                <w:color w:val="000000"/>
                <w:sz w:val="24"/>
                <w:szCs w:val="24"/>
              </w:rPr>
            </w:pPr>
            <w:bookmarkStart w:id="2" w:name="_Hlk3884205"/>
            <w:r w:rsidRPr="00D95B8D">
              <w:rPr>
                <w:rFonts w:ascii="Arial" w:hAnsi="Arial" w:cs="Arial"/>
                <w:color w:val="000000"/>
                <w:sz w:val="24"/>
                <w:szCs w:val="24"/>
                <w:u w:val="single"/>
              </w:rPr>
              <w:t>Strengths</w:t>
            </w:r>
            <w:r>
              <w:rPr>
                <w:rFonts w:ascii="Arial" w:hAnsi="Arial" w:cs="Arial"/>
                <w:color w:val="000000"/>
                <w:sz w:val="24"/>
                <w:szCs w:val="24"/>
              </w:rPr>
              <w:t>:</w:t>
            </w:r>
          </w:p>
          <w:bookmarkEnd w:id="2"/>
          <w:p w14:paraId="6E3D7E18" w14:textId="77777777" w:rsidR="007A3468" w:rsidRDefault="007A3468" w:rsidP="00F77C73">
            <w:pPr>
              <w:pStyle w:val="ListParagraph"/>
              <w:numPr>
                <w:ilvl w:val="0"/>
                <w:numId w:val="3"/>
              </w:numPr>
              <w:spacing w:line="360" w:lineRule="auto"/>
              <w:ind w:left="2149" w:hanging="357"/>
              <w:jc w:val="both"/>
              <w:rPr>
                <w:rFonts w:ascii="Arial" w:hAnsi="Arial" w:cs="Arial"/>
                <w:color w:val="000000"/>
                <w:sz w:val="24"/>
                <w:szCs w:val="24"/>
              </w:rPr>
            </w:pPr>
            <w:r>
              <w:rPr>
                <w:rFonts w:ascii="Arial" w:hAnsi="Arial" w:cs="Arial"/>
                <w:color w:val="000000"/>
                <w:sz w:val="24"/>
                <w:szCs w:val="24"/>
              </w:rPr>
              <w:t>Simple to understand and interpret;</w:t>
            </w:r>
          </w:p>
          <w:p w14:paraId="481B400D" w14:textId="77777777" w:rsidR="007A3468" w:rsidRDefault="007A3468" w:rsidP="00F77C73">
            <w:pPr>
              <w:pStyle w:val="ListParagraph"/>
              <w:numPr>
                <w:ilvl w:val="0"/>
                <w:numId w:val="3"/>
              </w:numPr>
              <w:spacing w:line="360" w:lineRule="auto"/>
              <w:ind w:left="2149" w:hanging="357"/>
              <w:jc w:val="both"/>
              <w:rPr>
                <w:rFonts w:ascii="Arial" w:hAnsi="Arial" w:cs="Arial"/>
                <w:color w:val="000000"/>
                <w:sz w:val="24"/>
                <w:szCs w:val="24"/>
              </w:rPr>
            </w:pPr>
            <w:r>
              <w:rPr>
                <w:rFonts w:ascii="Arial" w:hAnsi="Arial" w:cs="Arial"/>
                <w:color w:val="000000"/>
                <w:sz w:val="24"/>
                <w:szCs w:val="24"/>
              </w:rPr>
              <w:t>Have value even with little hard data;</w:t>
            </w:r>
          </w:p>
          <w:p w14:paraId="58750AC3" w14:textId="77777777" w:rsidR="007A3468" w:rsidRDefault="007A3468" w:rsidP="00F77C73">
            <w:pPr>
              <w:pStyle w:val="ListParagraph"/>
              <w:numPr>
                <w:ilvl w:val="0"/>
                <w:numId w:val="3"/>
              </w:numPr>
              <w:spacing w:line="360" w:lineRule="auto"/>
              <w:jc w:val="both"/>
              <w:rPr>
                <w:rFonts w:ascii="Arial" w:hAnsi="Arial" w:cs="Arial"/>
                <w:color w:val="000000"/>
                <w:sz w:val="24"/>
                <w:szCs w:val="24"/>
              </w:rPr>
            </w:pPr>
            <w:r>
              <w:rPr>
                <w:rFonts w:ascii="Arial" w:hAnsi="Arial" w:cs="Arial"/>
                <w:color w:val="000000"/>
                <w:sz w:val="24"/>
                <w:szCs w:val="24"/>
              </w:rPr>
              <w:t>Help determine worst, best and expected values for different scenarios;</w:t>
            </w:r>
          </w:p>
          <w:p w14:paraId="1D2AC517" w14:textId="77777777" w:rsidR="007A3468" w:rsidRDefault="007A3468" w:rsidP="00F77C73">
            <w:pPr>
              <w:pStyle w:val="ListParagraph"/>
              <w:numPr>
                <w:ilvl w:val="0"/>
                <w:numId w:val="3"/>
              </w:numPr>
              <w:spacing w:line="360" w:lineRule="auto"/>
              <w:jc w:val="both"/>
              <w:rPr>
                <w:rFonts w:ascii="Arial" w:hAnsi="Arial" w:cs="Arial"/>
                <w:color w:val="000000"/>
                <w:sz w:val="24"/>
                <w:szCs w:val="24"/>
              </w:rPr>
            </w:pPr>
            <w:r>
              <w:rPr>
                <w:rFonts w:ascii="Arial" w:hAnsi="Arial" w:cs="Arial"/>
                <w:color w:val="000000"/>
                <w:sz w:val="24"/>
                <w:szCs w:val="24"/>
              </w:rPr>
              <w:t>Can be combined with other decision techniques;</w:t>
            </w:r>
          </w:p>
          <w:p w14:paraId="0CD7CC90" w14:textId="77777777" w:rsidR="007A3468" w:rsidRDefault="007A3468" w:rsidP="00F77C73">
            <w:pPr>
              <w:pStyle w:val="ListParagraph"/>
              <w:numPr>
                <w:ilvl w:val="0"/>
                <w:numId w:val="3"/>
              </w:numPr>
              <w:spacing w:line="360" w:lineRule="auto"/>
              <w:jc w:val="both"/>
              <w:rPr>
                <w:rFonts w:ascii="Arial" w:hAnsi="Arial" w:cs="Arial"/>
                <w:color w:val="000000"/>
                <w:sz w:val="24"/>
                <w:szCs w:val="24"/>
              </w:rPr>
            </w:pPr>
            <w:r>
              <w:rPr>
                <w:rFonts w:ascii="Arial" w:hAnsi="Arial" w:cs="Arial"/>
                <w:color w:val="000000"/>
                <w:sz w:val="24"/>
                <w:szCs w:val="24"/>
              </w:rPr>
              <w:t>Causes the organization to structure the costs and benefits of decisions when the results are determined in part by uncertainty and risk;</w:t>
            </w:r>
          </w:p>
          <w:p w14:paraId="4DCF758C" w14:textId="77777777" w:rsidR="007A3468" w:rsidRDefault="007A3468" w:rsidP="00F77C73">
            <w:pPr>
              <w:pStyle w:val="ListParagraph"/>
              <w:numPr>
                <w:ilvl w:val="0"/>
                <w:numId w:val="3"/>
              </w:numPr>
              <w:spacing w:line="360" w:lineRule="auto"/>
              <w:jc w:val="both"/>
              <w:rPr>
                <w:rFonts w:ascii="Arial" w:hAnsi="Arial" w:cs="Arial"/>
                <w:color w:val="000000"/>
                <w:sz w:val="24"/>
                <w:szCs w:val="24"/>
              </w:rPr>
            </w:pPr>
            <w:r>
              <w:rPr>
                <w:rFonts w:ascii="Arial" w:hAnsi="Arial" w:cs="Arial"/>
                <w:color w:val="000000"/>
                <w:sz w:val="24"/>
                <w:szCs w:val="24"/>
              </w:rPr>
              <w:lastRenderedPageBreak/>
              <w:t>Solution of decision tree helps select the decision that provides the highest expected value or expected utility to the organization.</w:t>
            </w:r>
          </w:p>
          <w:p w14:paraId="2ADD4F68" w14:textId="77777777" w:rsidR="007A3468" w:rsidRDefault="007A3468" w:rsidP="007A3468">
            <w:pPr>
              <w:pStyle w:val="ListParagraph"/>
              <w:spacing w:line="360" w:lineRule="auto"/>
              <w:ind w:left="1435"/>
              <w:jc w:val="both"/>
              <w:rPr>
                <w:rFonts w:ascii="Arial" w:hAnsi="Arial" w:cs="Arial"/>
                <w:color w:val="000000"/>
                <w:sz w:val="24"/>
                <w:szCs w:val="24"/>
              </w:rPr>
            </w:pPr>
            <w:r>
              <w:rPr>
                <w:rFonts w:ascii="Arial" w:hAnsi="Arial" w:cs="Arial"/>
                <w:color w:val="000000"/>
                <w:sz w:val="24"/>
                <w:szCs w:val="24"/>
                <w:u w:val="single"/>
              </w:rPr>
              <w:t>Weaknesses</w:t>
            </w:r>
            <w:r w:rsidRPr="00FD5C89">
              <w:rPr>
                <w:rFonts w:ascii="Arial" w:hAnsi="Arial" w:cs="Arial"/>
                <w:color w:val="000000"/>
                <w:sz w:val="24"/>
                <w:szCs w:val="24"/>
              </w:rPr>
              <w:t>:</w:t>
            </w:r>
          </w:p>
          <w:p w14:paraId="073C1091" w14:textId="77777777" w:rsidR="007A3468" w:rsidRDefault="007A3468" w:rsidP="00F77C73">
            <w:pPr>
              <w:pStyle w:val="ListParagraph"/>
              <w:numPr>
                <w:ilvl w:val="0"/>
                <w:numId w:val="4"/>
              </w:numPr>
              <w:spacing w:line="360" w:lineRule="auto"/>
              <w:jc w:val="both"/>
              <w:rPr>
                <w:rFonts w:ascii="Arial" w:hAnsi="Arial" w:cs="Arial"/>
                <w:color w:val="000000"/>
                <w:sz w:val="24"/>
                <w:szCs w:val="24"/>
              </w:rPr>
            </w:pPr>
            <w:r>
              <w:rPr>
                <w:rFonts w:ascii="Arial" w:hAnsi="Arial" w:cs="Arial"/>
                <w:color w:val="000000"/>
                <w:sz w:val="24"/>
                <w:szCs w:val="24"/>
              </w:rPr>
              <w:t>They are unstable (small change in data, can lead to a large change);</w:t>
            </w:r>
          </w:p>
          <w:p w14:paraId="26543E9A" w14:textId="77777777" w:rsidR="007A3468" w:rsidRDefault="007A3468" w:rsidP="00F77C73">
            <w:pPr>
              <w:pStyle w:val="ListParagraph"/>
              <w:numPr>
                <w:ilvl w:val="0"/>
                <w:numId w:val="4"/>
              </w:numPr>
              <w:spacing w:line="360" w:lineRule="auto"/>
              <w:jc w:val="both"/>
              <w:rPr>
                <w:rFonts w:ascii="Arial" w:hAnsi="Arial" w:cs="Arial"/>
                <w:color w:val="000000"/>
                <w:sz w:val="24"/>
                <w:szCs w:val="24"/>
              </w:rPr>
            </w:pPr>
            <w:r>
              <w:rPr>
                <w:rFonts w:ascii="Arial" w:hAnsi="Arial" w:cs="Arial"/>
                <w:color w:val="000000"/>
                <w:sz w:val="24"/>
                <w:szCs w:val="24"/>
              </w:rPr>
              <w:t>They are often relatively inaccurate;</w:t>
            </w:r>
          </w:p>
          <w:p w14:paraId="08F26F11" w14:textId="6A4FA0CE" w:rsidR="007A3468" w:rsidRDefault="007A3468" w:rsidP="00F77C73">
            <w:pPr>
              <w:pStyle w:val="ListParagraph"/>
              <w:numPr>
                <w:ilvl w:val="0"/>
                <w:numId w:val="4"/>
              </w:numPr>
              <w:spacing w:line="360" w:lineRule="auto"/>
              <w:jc w:val="both"/>
              <w:rPr>
                <w:rFonts w:ascii="Arial" w:hAnsi="Arial" w:cs="Arial"/>
                <w:color w:val="000000"/>
                <w:sz w:val="24"/>
                <w:szCs w:val="24"/>
              </w:rPr>
            </w:pPr>
            <w:r>
              <w:rPr>
                <w:rFonts w:ascii="Arial" w:hAnsi="Arial" w:cs="Arial"/>
                <w:color w:val="000000"/>
                <w:sz w:val="24"/>
                <w:szCs w:val="24"/>
              </w:rPr>
              <w:t xml:space="preserve">Information gain in decision trees is biased in </w:t>
            </w:r>
            <w:r>
              <w:rPr>
                <w:rFonts w:ascii="Arial" w:hAnsi="Arial" w:cs="Arial"/>
                <w:color w:val="000000"/>
                <w:sz w:val="24"/>
                <w:szCs w:val="24"/>
              </w:rPr>
              <w:t>favor</w:t>
            </w:r>
            <w:r>
              <w:rPr>
                <w:rFonts w:ascii="Arial" w:hAnsi="Arial" w:cs="Arial"/>
                <w:color w:val="000000"/>
                <w:sz w:val="24"/>
                <w:szCs w:val="24"/>
              </w:rPr>
              <w:t xml:space="preserve"> of those attributes with more levels;</w:t>
            </w:r>
          </w:p>
          <w:p w14:paraId="579B9FD6" w14:textId="77777777" w:rsidR="007A3468" w:rsidRDefault="007A3468" w:rsidP="00F77C73">
            <w:pPr>
              <w:pStyle w:val="ListParagraph"/>
              <w:numPr>
                <w:ilvl w:val="0"/>
                <w:numId w:val="4"/>
              </w:numPr>
              <w:spacing w:line="360" w:lineRule="auto"/>
              <w:jc w:val="both"/>
              <w:rPr>
                <w:rFonts w:ascii="Arial" w:hAnsi="Arial" w:cs="Arial"/>
                <w:color w:val="000000"/>
                <w:sz w:val="24"/>
                <w:szCs w:val="24"/>
              </w:rPr>
            </w:pPr>
            <w:r>
              <w:rPr>
                <w:rFonts w:ascii="Arial" w:hAnsi="Arial" w:cs="Arial"/>
                <w:color w:val="000000"/>
                <w:sz w:val="24"/>
                <w:szCs w:val="24"/>
              </w:rPr>
              <w:t>Calculations can get very complex, with many outcomes and requires specialized software;</w:t>
            </w:r>
          </w:p>
          <w:p w14:paraId="084FCB95" w14:textId="77777777" w:rsidR="007A3468" w:rsidRDefault="007A3468" w:rsidP="00F77C73">
            <w:pPr>
              <w:pStyle w:val="ListParagraph"/>
              <w:numPr>
                <w:ilvl w:val="0"/>
                <w:numId w:val="4"/>
              </w:numPr>
              <w:spacing w:line="360" w:lineRule="auto"/>
              <w:jc w:val="both"/>
              <w:rPr>
                <w:rFonts w:ascii="Arial" w:hAnsi="Arial" w:cs="Arial"/>
                <w:color w:val="000000"/>
                <w:sz w:val="24"/>
                <w:szCs w:val="24"/>
              </w:rPr>
            </w:pPr>
            <w:r>
              <w:rPr>
                <w:rFonts w:ascii="Arial" w:hAnsi="Arial" w:cs="Arial"/>
                <w:color w:val="000000"/>
                <w:sz w:val="24"/>
                <w:szCs w:val="24"/>
              </w:rPr>
              <w:t>It is sometimes difficult to create the decision structure;</w:t>
            </w:r>
          </w:p>
          <w:p w14:paraId="7841C9C0" w14:textId="77777777" w:rsidR="007A3468" w:rsidRDefault="007A3468" w:rsidP="00F77C73">
            <w:pPr>
              <w:pStyle w:val="ListParagraph"/>
              <w:numPr>
                <w:ilvl w:val="0"/>
                <w:numId w:val="4"/>
              </w:numPr>
              <w:spacing w:line="360" w:lineRule="auto"/>
              <w:jc w:val="both"/>
              <w:rPr>
                <w:rFonts w:ascii="Arial" w:hAnsi="Arial" w:cs="Arial"/>
                <w:color w:val="000000"/>
                <w:sz w:val="24"/>
                <w:szCs w:val="24"/>
              </w:rPr>
            </w:pPr>
            <w:r>
              <w:rPr>
                <w:rFonts w:ascii="Arial" w:hAnsi="Arial" w:cs="Arial"/>
                <w:color w:val="000000"/>
                <w:sz w:val="24"/>
                <w:szCs w:val="24"/>
              </w:rPr>
              <w:t>Probabilities of occurrences can be difficult to quantify in the absence of historical data;</w:t>
            </w:r>
          </w:p>
          <w:p w14:paraId="0EE5B48D" w14:textId="77777777" w:rsidR="007A3468" w:rsidRPr="00FD5C89" w:rsidRDefault="007A3468" w:rsidP="00F77C73">
            <w:pPr>
              <w:pStyle w:val="ListParagraph"/>
              <w:numPr>
                <w:ilvl w:val="0"/>
                <w:numId w:val="4"/>
              </w:numPr>
              <w:spacing w:line="360" w:lineRule="auto"/>
              <w:jc w:val="both"/>
              <w:rPr>
                <w:rFonts w:ascii="Arial" w:hAnsi="Arial" w:cs="Arial"/>
                <w:color w:val="000000"/>
                <w:sz w:val="24"/>
                <w:szCs w:val="24"/>
              </w:rPr>
            </w:pPr>
            <w:r>
              <w:rPr>
                <w:rFonts w:ascii="Arial" w:hAnsi="Arial" w:cs="Arial"/>
                <w:color w:val="000000"/>
                <w:sz w:val="24"/>
                <w:szCs w:val="24"/>
              </w:rPr>
              <w:t>There may be some resistance to using technical approaches to decision-making.</w:t>
            </w:r>
          </w:p>
          <w:p w14:paraId="1D4C4AFC" w14:textId="278EB400" w:rsidR="007A3468" w:rsidRDefault="007A3468" w:rsidP="007A3468">
            <w:pPr>
              <w:spacing w:line="360" w:lineRule="auto"/>
              <w:jc w:val="both"/>
              <w:rPr>
                <w:rFonts w:ascii="Arial" w:hAnsi="Arial" w:cs="Arial"/>
                <w:color w:val="000000"/>
                <w:sz w:val="24"/>
                <w:szCs w:val="24"/>
              </w:rPr>
            </w:pPr>
          </w:p>
          <w:p w14:paraId="289C3825" w14:textId="77777777" w:rsidR="007A3468" w:rsidRPr="00612E86" w:rsidRDefault="007A3468" w:rsidP="007A3468">
            <w:pPr>
              <w:spacing w:line="360" w:lineRule="auto"/>
              <w:jc w:val="both"/>
              <w:rPr>
                <w:rFonts w:ascii="Arial" w:hAnsi="Arial" w:cs="Arial"/>
                <w:color w:val="000000"/>
                <w:sz w:val="24"/>
                <w:szCs w:val="24"/>
              </w:rPr>
            </w:pPr>
          </w:p>
          <w:p w14:paraId="043325BE" w14:textId="7ACF3C66" w:rsidR="007A3468" w:rsidRDefault="007A3468" w:rsidP="00F77C73">
            <w:pPr>
              <w:pStyle w:val="ListParagraph"/>
              <w:numPr>
                <w:ilvl w:val="1"/>
                <w:numId w:val="2"/>
              </w:numPr>
              <w:spacing w:line="360" w:lineRule="auto"/>
              <w:ind w:left="1434" w:hanging="357"/>
              <w:jc w:val="both"/>
              <w:rPr>
                <w:rFonts w:ascii="Arial" w:hAnsi="Arial" w:cs="Arial"/>
                <w:color w:val="000000"/>
                <w:sz w:val="24"/>
                <w:szCs w:val="24"/>
              </w:rPr>
            </w:pPr>
            <w:r w:rsidRPr="00AE615E">
              <w:rPr>
                <w:rFonts w:ascii="Arial" w:hAnsi="Arial" w:cs="Arial"/>
                <w:color w:val="000000"/>
                <w:sz w:val="24"/>
                <w:szCs w:val="24"/>
                <w:u w:val="single"/>
              </w:rPr>
              <w:t>Risk Response</w:t>
            </w:r>
            <w:r w:rsidRPr="00AE615E">
              <w:rPr>
                <w:rFonts w:ascii="Arial" w:hAnsi="Arial" w:cs="Arial"/>
                <w:color w:val="000000"/>
                <w:sz w:val="24"/>
                <w:szCs w:val="24"/>
              </w:rPr>
              <w:t xml:space="preserve"> determines appropriate and effective response strategies and actions for each individual risk and for overall project risk and integrates them into a consolidated project management plan. The response focuses on how to decrease the possibility of risks adversely affecting the project’s objectives and how to increase the likelihood of positive risks that can aid the project.</w:t>
            </w:r>
            <w:r>
              <w:rPr>
                <w:rFonts w:ascii="Arial" w:hAnsi="Arial" w:cs="Arial"/>
                <w:color w:val="000000"/>
                <w:sz w:val="24"/>
                <w:szCs w:val="24"/>
              </w:rPr>
              <w:t xml:space="preserve"> </w:t>
            </w:r>
            <w:r w:rsidRPr="00AE615E">
              <w:rPr>
                <w:rFonts w:ascii="Arial" w:hAnsi="Arial" w:cs="Arial"/>
                <w:color w:val="000000"/>
                <w:sz w:val="24"/>
                <w:szCs w:val="24"/>
              </w:rPr>
              <w:t xml:space="preserve">It </w:t>
            </w:r>
            <w:r>
              <w:rPr>
                <w:rFonts w:ascii="Arial" w:hAnsi="Arial" w:cs="Arial"/>
                <w:color w:val="000000"/>
                <w:sz w:val="24"/>
                <w:szCs w:val="24"/>
              </w:rPr>
              <w:t xml:space="preserve">also </w:t>
            </w:r>
            <w:r w:rsidRPr="00AE615E">
              <w:rPr>
                <w:rFonts w:ascii="Arial" w:hAnsi="Arial" w:cs="Arial"/>
                <w:color w:val="000000"/>
                <w:sz w:val="24"/>
                <w:szCs w:val="24"/>
              </w:rPr>
              <w:t>considers</w:t>
            </w:r>
            <w:r w:rsidRPr="00AE615E">
              <w:rPr>
                <w:rFonts w:ascii="Arial" w:hAnsi="Arial" w:cs="Arial"/>
                <w:color w:val="000000"/>
                <w:sz w:val="24"/>
                <w:szCs w:val="24"/>
              </w:rPr>
              <w:t xml:space="preserve"> the stakeholders risk attitude and the conventions specified in the Risk Management Plan, in addition to any constraints and assumptions that were determined when the risks were identified and </w:t>
            </w:r>
            <w:r w:rsidRPr="00AE615E">
              <w:rPr>
                <w:rFonts w:ascii="Arial" w:hAnsi="Arial" w:cs="Arial"/>
                <w:color w:val="000000"/>
                <w:sz w:val="24"/>
                <w:szCs w:val="24"/>
              </w:rPr>
              <w:t>analyzed</w:t>
            </w:r>
            <w:r w:rsidRPr="00AE615E">
              <w:rPr>
                <w:rFonts w:ascii="Arial" w:hAnsi="Arial" w:cs="Arial"/>
                <w:color w:val="000000"/>
                <w:sz w:val="24"/>
                <w:szCs w:val="24"/>
              </w:rPr>
              <w:t xml:space="preserve">.  Having identified, quantified and prioritized the risks, the next step is to start developing a risk response plan which defines ways to address adverse risk and enhance opportunities before they occur. These responses are not mutually exclusive, as the response might be to use a combination of them all. Responses cost money, so a cost-benefit analysis should be performed, as there might be situations where it is </w:t>
            </w:r>
            <w:r w:rsidRPr="00AE615E">
              <w:rPr>
                <w:rFonts w:ascii="Arial" w:hAnsi="Arial" w:cs="Arial"/>
                <w:color w:val="000000"/>
                <w:sz w:val="24"/>
                <w:szCs w:val="24"/>
              </w:rPr>
              <w:lastRenderedPageBreak/>
              <w:t xml:space="preserve">more cost effective to accept a risk rather than taking expensive steps to eliminate it. Risk responses should be appropriate to the risk level and as previously mentioned, cost effective, timely, realistic, agreed by the project team and assigned to a capable person.  </w:t>
            </w:r>
            <w:r>
              <w:rPr>
                <w:rFonts w:ascii="Arial" w:hAnsi="Arial" w:cs="Arial"/>
                <w:color w:val="000000"/>
                <w:sz w:val="24"/>
                <w:szCs w:val="24"/>
              </w:rPr>
              <w:t xml:space="preserve">Risks will increase or decrease based on the effectiveness of risk response planning. Usually, there will be several risk responses that may be viable for the risk, the best choice for identified risk must be documented, agreed upon, and then followed through should the risk come to fruition. </w:t>
            </w:r>
            <w:r w:rsidRPr="007A3468">
              <w:rPr>
                <w:rFonts w:ascii="Arial" w:hAnsi="Arial" w:cs="Arial"/>
                <w:color w:val="000000"/>
                <w:sz w:val="24"/>
                <w:szCs w:val="24"/>
              </w:rPr>
              <w:t>For each of the considered risk circumstances the appropriate response might include a range of possibilities such as, shown in the below diagram:</w:t>
            </w:r>
          </w:p>
          <w:p w14:paraId="7B4D1F39" w14:textId="77777777" w:rsidR="007A3468" w:rsidRPr="007A3468" w:rsidRDefault="007A3468" w:rsidP="007A3468">
            <w:pPr>
              <w:spacing w:line="360" w:lineRule="auto"/>
              <w:jc w:val="both"/>
              <w:rPr>
                <w:rFonts w:ascii="Arial" w:hAnsi="Arial" w:cs="Arial"/>
                <w:color w:val="000000"/>
                <w:sz w:val="24"/>
                <w:szCs w:val="24"/>
              </w:rPr>
            </w:pPr>
          </w:p>
          <w:p w14:paraId="393BA092" w14:textId="77777777" w:rsidR="007A3468" w:rsidRDefault="007A3468" w:rsidP="007A3468">
            <w:pPr>
              <w:spacing w:line="360" w:lineRule="auto"/>
              <w:jc w:val="right"/>
              <w:rPr>
                <w:rFonts w:ascii="Arial" w:hAnsi="Arial" w:cs="Arial"/>
                <w:color w:val="000000"/>
                <w:sz w:val="24"/>
                <w:szCs w:val="24"/>
              </w:rPr>
            </w:pPr>
            <w:r>
              <w:rPr>
                <w:rFonts w:ascii="Arial" w:hAnsi="Arial" w:cs="Arial"/>
                <w:noProof/>
                <w:color w:val="000000"/>
                <w:sz w:val="24"/>
                <w:szCs w:val="24"/>
              </w:rPr>
              <w:drawing>
                <wp:inline distT="0" distB="0" distL="0" distR="0" wp14:anchorId="0589D0FE" wp14:editId="13235ACC">
                  <wp:extent cx="6134986" cy="304800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025465BA" w14:textId="77777777" w:rsidR="007A3468" w:rsidRDefault="007A3468" w:rsidP="007A3468">
            <w:pPr>
              <w:spacing w:line="360" w:lineRule="auto"/>
              <w:jc w:val="both"/>
              <w:rPr>
                <w:rFonts w:ascii="Arial" w:hAnsi="Arial" w:cs="Arial"/>
                <w:color w:val="000000"/>
                <w:sz w:val="24"/>
                <w:szCs w:val="24"/>
              </w:rPr>
            </w:pPr>
          </w:p>
          <w:p w14:paraId="3F8BE3DF" w14:textId="77B502A0" w:rsidR="007A3468" w:rsidRDefault="007A3468" w:rsidP="007A3468">
            <w:pPr>
              <w:spacing w:line="360" w:lineRule="auto"/>
              <w:ind w:left="1435"/>
              <w:jc w:val="both"/>
              <w:rPr>
                <w:rFonts w:ascii="Arial" w:hAnsi="Arial" w:cs="Arial"/>
                <w:color w:val="000000"/>
                <w:sz w:val="24"/>
                <w:szCs w:val="24"/>
              </w:rPr>
            </w:pPr>
            <w:r>
              <w:rPr>
                <w:rFonts w:ascii="Arial" w:hAnsi="Arial" w:cs="Arial"/>
                <w:color w:val="000000"/>
                <w:sz w:val="24"/>
                <w:szCs w:val="24"/>
              </w:rPr>
              <w:t>In addition to responding to individual risks, there should also be a risk response strategy that can be applied to address any negative or positive risk arise during the project.</w:t>
            </w:r>
          </w:p>
          <w:p w14:paraId="74B1ABE3" w14:textId="77777777" w:rsidR="007A3468" w:rsidRDefault="007A3468" w:rsidP="007A3468">
            <w:pPr>
              <w:spacing w:line="360" w:lineRule="auto"/>
              <w:jc w:val="right"/>
              <w:rPr>
                <w:rFonts w:ascii="Arial" w:hAnsi="Arial" w:cs="Arial"/>
                <w:color w:val="000000"/>
                <w:sz w:val="24"/>
                <w:szCs w:val="24"/>
              </w:rPr>
            </w:pPr>
            <w:r>
              <w:rPr>
                <w:rFonts w:ascii="Arial" w:hAnsi="Arial" w:cs="Arial"/>
                <w:noProof/>
                <w:color w:val="000000"/>
                <w:sz w:val="24"/>
                <w:szCs w:val="24"/>
              </w:rPr>
              <w:lastRenderedPageBreak/>
              <w:drawing>
                <wp:inline distT="0" distB="0" distL="0" distR="0" wp14:anchorId="4E5EF244" wp14:editId="2B80F059">
                  <wp:extent cx="4455042" cy="3129054"/>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58290" cy="3201571"/>
                          </a:xfrm>
                          <a:prstGeom prst="rect">
                            <a:avLst/>
                          </a:prstGeom>
                          <a:noFill/>
                        </pic:spPr>
                      </pic:pic>
                    </a:graphicData>
                  </a:graphic>
                </wp:inline>
              </w:drawing>
            </w:r>
          </w:p>
          <w:p w14:paraId="5F1C2769" w14:textId="77777777" w:rsidR="007A3468" w:rsidRDefault="007A3468" w:rsidP="007A3468">
            <w:pPr>
              <w:spacing w:line="360" w:lineRule="auto"/>
              <w:rPr>
                <w:rFonts w:ascii="Arial" w:hAnsi="Arial" w:cs="Arial"/>
                <w:color w:val="000000"/>
                <w:sz w:val="24"/>
                <w:szCs w:val="24"/>
              </w:rPr>
            </w:pPr>
          </w:p>
          <w:p w14:paraId="5620E267" w14:textId="77777777" w:rsidR="007A3468" w:rsidRDefault="007A3468" w:rsidP="007A3468">
            <w:pPr>
              <w:spacing w:line="360" w:lineRule="auto"/>
              <w:ind w:left="1435"/>
              <w:jc w:val="both"/>
              <w:rPr>
                <w:rFonts w:ascii="Arial" w:hAnsi="Arial" w:cs="Arial"/>
                <w:color w:val="000000"/>
                <w:sz w:val="24"/>
                <w:szCs w:val="24"/>
              </w:rPr>
            </w:pPr>
            <w:r w:rsidRPr="002E35F0">
              <w:rPr>
                <w:rFonts w:ascii="Arial" w:hAnsi="Arial" w:cs="Arial"/>
                <w:color w:val="000000"/>
                <w:sz w:val="24"/>
                <w:szCs w:val="24"/>
                <w:u w:val="single"/>
              </w:rPr>
              <w:t>Strategies for Negative Risks</w:t>
            </w:r>
            <w:r>
              <w:rPr>
                <w:rFonts w:ascii="Arial" w:hAnsi="Arial" w:cs="Arial"/>
                <w:color w:val="000000"/>
                <w:sz w:val="24"/>
                <w:szCs w:val="24"/>
              </w:rPr>
              <w:t>:</w:t>
            </w:r>
          </w:p>
          <w:p w14:paraId="469A5B8A" w14:textId="77777777" w:rsidR="007A3468" w:rsidRPr="002E35F0" w:rsidRDefault="007A3468" w:rsidP="00F77C73">
            <w:pPr>
              <w:pStyle w:val="ListParagraph"/>
              <w:numPr>
                <w:ilvl w:val="0"/>
                <w:numId w:val="6"/>
              </w:numPr>
              <w:spacing w:line="360" w:lineRule="auto"/>
              <w:ind w:left="2154" w:hanging="357"/>
              <w:jc w:val="both"/>
              <w:rPr>
                <w:rFonts w:ascii="Arial" w:hAnsi="Arial" w:cs="Arial"/>
                <w:color w:val="000000"/>
                <w:sz w:val="24"/>
                <w:szCs w:val="24"/>
              </w:rPr>
            </w:pPr>
            <w:r w:rsidRPr="002E35F0">
              <w:rPr>
                <w:rFonts w:ascii="Arial" w:eastAsia="Times New Roman" w:hAnsi="Arial" w:cs="Arial"/>
                <w:b/>
                <w:bCs/>
                <w:sz w:val="24"/>
                <w:szCs w:val="24"/>
                <w:lang w:val="en-AU"/>
              </w:rPr>
              <w:t>Avoidance:</w:t>
            </w:r>
            <w:r w:rsidRPr="002E35F0">
              <w:rPr>
                <w:rFonts w:ascii="Arial" w:eastAsia="Times New Roman" w:hAnsi="Arial" w:cs="Arial"/>
                <w:sz w:val="24"/>
                <w:szCs w:val="24"/>
                <w:lang w:val="en-AU"/>
              </w:rPr>
              <w:t xml:space="preserve"> Risk avoidance involves changing the project management plan to eliminate the threat entirely.</w:t>
            </w:r>
          </w:p>
          <w:p w14:paraId="2AB699F8" w14:textId="77777777" w:rsidR="007A3468" w:rsidRPr="002E35F0" w:rsidRDefault="007A3468" w:rsidP="00F77C73">
            <w:pPr>
              <w:pStyle w:val="ListParagraph"/>
              <w:numPr>
                <w:ilvl w:val="0"/>
                <w:numId w:val="6"/>
              </w:numPr>
              <w:spacing w:line="360" w:lineRule="auto"/>
              <w:ind w:left="2154" w:hanging="357"/>
              <w:jc w:val="both"/>
              <w:rPr>
                <w:rFonts w:ascii="Arial" w:hAnsi="Arial" w:cs="Arial"/>
                <w:color w:val="000000"/>
                <w:sz w:val="24"/>
                <w:szCs w:val="24"/>
              </w:rPr>
            </w:pPr>
            <w:r w:rsidRPr="002E35F0">
              <w:rPr>
                <w:rFonts w:ascii="Arial" w:eastAsia="Times New Roman" w:hAnsi="Arial" w:cs="Arial"/>
                <w:b/>
                <w:bCs/>
                <w:sz w:val="24"/>
                <w:szCs w:val="24"/>
                <w:lang w:val="en-AU"/>
              </w:rPr>
              <w:t>Mitigation:</w:t>
            </w:r>
            <w:r w:rsidRPr="002E35F0">
              <w:rPr>
                <w:rFonts w:ascii="Arial" w:eastAsia="Times New Roman" w:hAnsi="Arial" w:cs="Arial"/>
                <w:sz w:val="24"/>
                <w:szCs w:val="24"/>
                <w:lang w:val="en-AU"/>
              </w:rPr>
              <w:t xml:space="preserve"> Risk mitigation implies a reduction in the probability and or impact of an adverse risk event to be within acceptable threshold limits.</w:t>
            </w:r>
          </w:p>
          <w:p w14:paraId="3A3D9AF5" w14:textId="77777777" w:rsidR="007A3468" w:rsidRPr="00D429CD" w:rsidRDefault="007A3468" w:rsidP="00F77C73">
            <w:pPr>
              <w:pStyle w:val="ListParagraph"/>
              <w:numPr>
                <w:ilvl w:val="0"/>
                <w:numId w:val="6"/>
              </w:numPr>
              <w:spacing w:line="360" w:lineRule="auto"/>
              <w:ind w:left="2154" w:hanging="357"/>
              <w:jc w:val="both"/>
              <w:rPr>
                <w:rFonts w:ascii="Arial" w:hAnsi="Arial" w:cs="Arial"/>
                <w:color w:val="000000"/>
                <w:sz w:val="24"/>
                <w:szCs w:val="24"/>
              </w:rPr>
            </w:pPr>
            <w:r w:rsidRPr="002E35F0">
              <w:rPr>
                <w:rFonts w:ascii="Arial" w:eastAsia="Times New Roman" w:hAnsi="Arial" w:cs="Arial"/>
                <w:b/>
                <w:bCs/>
                <w:sz w:val="24"/>
                <w:szCs w:val="24"/>
                <w:lang w:val="en-AU"/>
              </w:rPr>
              <w:t>Transfer</w:t>
            </w:r>
            <w:r>
              <w:rPr>
                <w:rFonts w:ascii="Arial" w:eastAsia="Times New Roman" w:hAnsi="Arial" w:cs="Arial"/>
                <w:b/>
                <w:bCs/>
                <w:sz w:val="24"/>
                <w:szCs w:val="24"/>
                <w:lang w:val="en-AU"/>
              </w:rPr>
              <w:t>ring</w:t>
            </w:r>
            <w:r w:rsidRPr="002E35F0">
              <w:rPr>
                <w:rFonts w:ascii="Arial" w:eastAsia="Times New Roman" w:hAnsi="Arial" w:cs="Arial"/>
                <w:b/>
                <w:bCs/>
                <w:sz w:val="24"/>
                <w:szCs w:val="24"/>
                <w:lang w:val="en-AU"/>
              </w:rPr>
              <w:t>:</w:t>
            </w:r>
            <w:r w:rsidRPr="002E35F0">
              <w:rPr>
                <w:rFonts w:ascii="Arial" w:eastAsia="Times New Roman" w:hAnsi="Arial" w:cs="Arial"/>
                <w:sz w:val="24"/>
                <w:szCs w:val="24"/>
                <w:lang w:val="en-AU"/>
              </w:rPr>
              <w:t xml:space="preserve"> Risk transfer requires shifting some or all the negative impact of a threat along with ownership of the response to a third party</w:t>
            </w:r>
            <w:r>
              <w:rPr>
                <w:rFonts w:ascii="Arial" w:eastAsia="Times New Roman" w:hAnsi="Arial" w:cs="Arial"/>
                <w:sz w:val="24"/>
                <w:szCs w:val="24"/>
                <w:lang w:val="en-AU"/>
              </w:rPr>
              <w:t xml:space="preserve">. </w:t>
            </w:r>
            <w:r w:rsidRPr="002E35F0">
              <w:rPr>
                <w:rFonts w:ascii="Arial" w:eastAsia="Times New Roman" w:hAnsi="Arial" w:cs="Arial"/>
                <w:sz w:val="24"/>
                <w:szCs w:val="24"/>
                <w:lang w:val="en-AU"/>
              </w:rPr>
              <w:t>Transferring the risk simply gives another party responsibility for its management.</w:t>
            </w:r>
          </w:p>
          <w:p w14:paraId="686E7701" w14:textId="77777777" w:rsidR="007A3468" w:rsidRPr="00D429CD" w:rsidRDefault="007A3468" w:rsidP="00F77C73">
            <w:pPr>
              <w:pStyle w:val="ListParagraph"/>
              <w:numPr>
                <w:ilvl w:val="0"/>
                <w:numId w:val="6"/>
              </w:numPr>
              <w:spacing w:line="360" w:lineRule="auto"/>
              <w:ind w:left="2154" w:hanging="357"/>
              <w:jc w:val="both"/>
              <w:rPr>
                <w:rFonts w:ascii="Arial" w:hAnsi="Arial" w:cs="Arial"/>
                <w:color w:val="000000"/>
                <w:sz w:val="24"/>
                <w:szCs w:val="24"/>
              </w:rPr>
            </w:pPr>
            <w:r w:rsidRPr="00D429CD">
              <w:rPr>
                <w:rFonts w:ascii="Arial" w:eastAsia="Times New Roman" w:hAnsi="Arial" w:cs="Arial"/>
                <w:b/>
                <w:bCs/>
                <w:sz w:val="24"/>
                <w:szCs w:val="24"/>
                <w:lang w:val="en-AU"/>
              </w:rPr>
              <w:t>Acceptance:</w:t>
            </w:r>
            <w:r w:rsidRPr="00D429CD">
              <w:rPr>
                <w:rFonts w:ascii="Arial" w:eastAsia="Times New Roman" w:hAnsi="Arial" w:cs="Arial"/>
                <w:sz w:val="24"/>
                <w:szCs w:val="24"/>
                <w:lang w:val="en-AU"/>
              </w:rPr>
              <w:t xml:space="preserve"> This strategy is adopted because it is seldom possible to eliminate all threats from a project.</w:t>
            </w:r>
          </w:p>
          <w:p w14:paraId="70D83E92" w14:textId="77777777" w:rsidR="007A3468" w:rsidRPr="00D429CD" w:rsidRDefault="007A3468" w:rsidP="007A3468">
            <w:pPr>
              <w:pStyle w:val="ListParagraph"/>
              <w:spacing w:line="360" w:lineRule="auto"/>
              <w:ind w:left="0"/>
              <w:jc w:val="both"/>
              <w:rPr>
                <w:rFonts w:ascii="Arial" w:hAnsi="Arial" w:cs="Arial"/>
                <w:color w:val="000000"/>
                <w:sz w:val="24"/>
                <w:szCs w:val="24"/>
              </w:rPr>
            </w:pPr>
          </w:p>
          <w:p w14:paraId="32E565BE" w14:textId="77777777" w:rsidR="007A3468" w:rsidRDefault="007A3468" w:rsidP="007A3468">
            <w:pPr>
              <w:spacing w:line="360" w:lineRule="auto"/>
              <w:ind w:left="1435"/>
              <w:jc w:val="both"/>
              <w:rPr>
                <w:rFonts w:ascii="Arial" w:hAnsi="Arial" w:cs="Arial"/>
                <w:color w:val="000000"/>
                <w:sz w:val="24"/>
                <w:szCs w:val="24"/>
              </w:rPr>
            </w:pPr>
            <w:r w:rsidRPr="002E35F0">
              <w:rPr>
                <w:rFonts w:ascii="Arial" w:hAnsi="Arial" w:cs="Arial"/>
                <w:color w:val="000000"/>
                <w:sz w:val="24"/>
                <w:szCs w:val="24"/>
                <w:u w:val="single"/>
              </w:rPr>
              <w:t xml:space="preserve">Strategies for </w:t>
            </w:r>
            <w:r>
              <w:rPr>
                <w:rFonts w:ascii="Arial" w:hAnsi="Arial" w:cs="Arial"/>
                <w:color w:val="000000"/>
                <w:sz w:val="24"/>
                <w:szCs w:val="24"/>
                <w:u w:val="single"/>
              </w:rPr>
              <w:t xml:space="preserve">Positive </w:t>
            </w:r>
            <w:r w:rsidRPr="002E35F0">
              <w:rPr>
                <w:rFonts w:ascii="Arial" w:hAnsi="Arial" w:cs="Arial"/>
                <w:color w:val="000000"/>
                <w:sz w:val="24"/>
                <w:szCs w:val="24"/>
                <w:u w:val="single"/>
              </w:rPr>
              <w:t>Risks</w:t>
            </w:r>
            <w:r>
              <w:rPr>
                <w:rFonts w:ascii="Arial" w:hAnsi="Arial" w:cs="Arial"/>
                <w:color w:val="000000"/>
                <w:sz w:val="24"/>
                <w:szCs w:val="24"/>
              </w:rPr>
              <w:t>:</w:t>
            </w:r>
          </w:p>
          <w:p w14:paraId="257D09DC" w14:textId="77777777" w:rsidR="007A3468" w:rsidRPr="00D429CD" w:rsidRDefault="007A3468" w:rsidP="00F77C73">
            <w:pPr>
              <w:pStyle w:val="ListParagraph"/>
              <w:numPr>
                <w:ilvl w:val="0"/>
                <w:numId w:val="6"/>
              </w:numPr>
              <w:spacing w:line="360" w:lineRule="auto"/>
              <w:ind w:left="2154" w:hanging="357"/>
              <w:jc w:val="both"/>
              <w:rPr>
                <w:rFonts w:ascii="Arial" w:hAnsi="Arial" w:cs="Arial"/>
                <w:color w:val="000000"/>
                <w:sz w:val="24"/>
                <w:szCs w:val="24"/>
              </w:rPr>
            </w:pPr>
            <w:r w:rsidRPr="00D429CD">
              <w:rPr>
                <w:rFonts w:ascii="Arial" w:eastAsia="Times New Roman" w:hAnsi="Arial" w:cs="Arial"/>
                <w:b/>
                <w:bCs/>
                <w:sz w:val="24"/>
                <w:szCs w:val="24"/>
                <w:lang w:val="en-AU"/>
              </w:rPr>
              <w:t>Exploitation:</w:t>
            </w:r>
            <w:r w:rsidRPr="00D429CD">
              <w:rPr>
                <w:rFonts w:ascii="Arial" w:eastAsia="Times New Roman" w:hAnsi="Arial" w:cs="Arial"/>
                <w:sz w:val="24"/>
                <w:szCs w:val="24"/>
                <w:lang w:val="en-AU"/>
              </w:rPr>
              <w:t xml:space="preserve"> This strategy will be selected where the risk has a positive impact on the project or business where the organisation wishes to ensure that the opportunity is realised.</w:t>
            </w:r>
          </w:p>
          <w:p w14:paraId="48EFFC9C" w14:textId="77777777" w:rsidR="007A3468" w:rsidRPr="00D429CD" w:rsidRDefault="007A3468" w:rsidP="00F77C73">
            <w:pPr>
              <w:pStyle w:val="ListParagraph"/>
              <w:numPr>
                <w:ilvl w:val="0"/>
                <w:numId w:val="6"/>
              </w:numPr>
              <w:spacing w:line="360" w:lineRule="auto"/>
              <w:ind w:left="2154" w:hanging="357"/>
              <w:jc w:val="both"/>
              <w:rPr>
                <w:rFonts w:ascii="Arial" w:hAnsi="Arial" w:cs="Arial"/>
                <w:color w:val="000000"/>
                <w:sz w:val="24"/>
                <w:szCs w:val="24"/>
              </w:rPr>
            </w:pPr>
            <w:r w:rsidRPr="00D429CD">
              <w:rPr>
                <w:rFonts w:ascii="Arial" w:eastAsia="Times New Roman" w:hAnsi="Arial" w:cs="Arial"/>
                <w:b/>
                <w:bCs/>
                <w:sz w:val="24"/>
                <w:szCs w:val="24"/>
                <w:lang w:val="en-AU"/>
              </w:rPr>
              <w:t>Sharing:</w:t>
            </w:r>
            <w:r w:rsidRPr="00D429CD">
              <w:rPr>
                <w:rFonts w:ascii="Arial" w:eastAsia="Times New Roman" w:hAnsi="Arial" w:cs="Arial"/>
                <w:sz w:val="24"/>
                <w:szCs w:val="24"/>
                <w:lang w:val="en-AU"/>
              </w:rPr>
              <w:t xml:space="preserve"> Sharing a positive risk involves allocating some or all the ownership of the opportunity to a third party who is best able to capture the opportunity for the benefit of the project.</w:t>
            </w:r>
          </w:p>
          <w:p w14:paraId="39BAD5A6" w14:textId="77777777" w:rsidR="007A3468" w:rsidRPr="00D429CD" w:rsidRDefault="007A3468" w:rsidP="00F77C73">
            <w:pPr>
              <w:pStyle w:val="ListParagraph"/>
              <w:numPr>
                <w:ilvl w:val="0"/>
                <w:numId w:val="6"/>
              </w:numPr>
              <w:spacing w:line="360" w:lineRule="auto"/>
              <w:ind w:left="2154" w:hanging="357"/>
              <w:jc w:val="both"/>
              <w:rPr>
                <w:rFonts w:ascii="Arial" w:hAnsi="Arial" w:cs="Arial"/>
                <w:color w:val="000000"/>
                <w:sz w:val="24"/>
                <w:szCs w:val="24"/>
              </w:rPr>
            </w:pPr>
            <w:r w:rsidRPr="00D429CD">
              <w:rPr>
                <w:rFonts w:ascii="Arial" w:eastAsia="Times New Roman" w:hAnsi="Arial" w:cs="Arial"/>
                <w:b/>
                <w:bCs/>
                <w:sz w:val="24"/>
                <w:szCs w:val="24"/>
                <w:lang w:val="en-AU"/>
              </w:rPr>
              <w:lastRenderedPageBreak/>
              <w:t>Enhancement:</w:t>
            </w:r>
            <w:r w:rsidRPr="00D429CD">
              <w:rPr>
                <w:rFonts w:ascii="Arial" w:eastAsia="Times New Roman" w:hAnsi="Arial" w:cs="Arial"/>
                <w:sz w:val="24"/>
                <w:szCs w:val="24"/>
                <w:lang w:val="en-AU"/>
              </w:rPr>
              <w:t xml:space="preserve"> This strategy is used to increase the probability and or positive impacts of an opportunity. Identifying and maximising key drivers of positive impact risks may increase the probability of their occurrence.</w:t>
            </w:r>
          </w:p>
          <w:p w14:paraId="4FA30723" w14:textId="77777777" w:rsidR="007A3468" w:rsidRPr="00D429CD" w:rsidRDefault="007A3468" w:rsidP="00F77C73">
            <w:pPr>
              <w:pStyle w:val="ListParagraph"/>
              <w:numPr>
                <w:ilvl w:val="0"/>
                <w:numId w:val="6"/>
              </w:numPr>
              <w:spacing w:line="360" w:lineRule="auto"/>
              <w:ind w:left="2154" w:hanging="357"/>
              <w:jc w:val="both"/>
              <w:rPr>
                <w:rFonts w:ascii="Arial" w:hAnsi="Arial" w:cs="Arial"/>
                <w:color w:val="000000"/>
                <w:sz w:val="24"/>
                <w:szCs w:val="24"/>
              </w:rPr>
            </w:pPr>
            <w:r w:rsidRPr="00D429CD">
              <w:rPr>
                <w:rFonts w:ascii="Arial" w:eastAsia="Times New Roman" w:hAnsi="Arial" w:cs="Arial"/>
                <w:b/>
                <w:bCs/>
                <w:sz w:val="24"/>
                <w:szCs w:val="24"/>
                <w:lang w:val="en-AU"/>
              </w:rPr>
              <w:t>Acceptance:</w:t>
            </w:r>
            <w:r w:rsidRPr="00D429CD">
              <w:rPr>
                <w:rFonts w:ascii="Arial" w:eastAsia="Times New Roman" w:hAnsi="Arial" w:cs="Arial"/>
                <w:sz w:val="24"/>
                <w:szCs w:val="24"/>
                <w:lang w:val="en-AU"/>
              </w:rPr>
              <w:t xml:space="preserve"> Accepting an opportunity is being willing to take advantage of it</w:t>
            </w:r>
            <w:r>
              <w:rPr>
                <w:rFonts w:ascii="Arial" w:eastAsia="Times New Roman" w:hAnsi="Arial" w:cs="Arial"/>
                <w:sz w:val="24"/>
                <w:szCs w:val="24"/>
                <w:lang w:val="en-AU"/>
              </w:rPr>
              <w:t xml:space="preserve">, </w:t>
            </w:r>
            <w:r w:rsidRPr="00D429CD">
              <w:rPr>
                <w:rFonts w:ascii="Arial" w:eastAsia="Times New Roman" w:hAnsi="Arial" w:cs="Arial"/>
                <w:sz w:val="24"/>
                <w:szCs w:val="24"/>
                <w:lang w:val="en-AU"/>
              </w:rPr>
              <w:t>if it comes along but actively pursuing it.</w:t>
            </w:r>
          </w:p>
          <w:p w14:paraId="4C24F081" w14:textId="77777777" w:rsidR="007A3468" w:rsidRPr="00F779BD" w:rsidRDefault="007A3468" w:rsidP="007A3468">
            <w:pPr>
              <w:spacing w:line="360" w:lineRule="auto"/>
              <w:jc w:val="both"/>
              <w:rPr>
                <w:rFonts w:ascii="Arial" w:hAnsi="Arial" w:cs="Arial"/>
                <w:color w:val="000000"/>
                <w:sz w:val="24"/>
                <w:szCs w:val="24"/>
              </w:rPr>
            </w:pPr>
          </w:p>
          <w:p w14:paraId="49C8BB62" w14:textId="77777777" w:rsidR="007A3468" w:rsidRDefault="007A3468" w:rsidP="00F77C73">
            <w:pPr>
              <w:pStyle w:val="ListParagraph"/>
              <w:numPr>
                <w:ilvl w:val="1"/>
                <w:numId w:val="2"/>
              </w:numPr>
              <w:spacing w:line="360" w:lineRule="auto"/>
              <w:ind w:left="1434" w:hanging="357"/>
              <w:jc w:val="both"/>
              <w:rPr>
                <w:rFonts w:ascii="Arial" w:hAnsi="Arial" w:cs="Arial"/>
                <w:color w:val="000000"/>
                <w:sz w:val="24"/>
                <w:szCs w:val="24"/>
              </w:rPr>
            </w:pPr>
            <w:r w:rsidRPr="00B24AFA">
              <w:rPr>
                <w:rFonts w:ascii="Arial" w:hAnsi="Arial" w:cs="Arial"/>
                <w:color w:val="000000"/>
                <w:sz w:val="24"/>
                <w:szCs w:val="24"/>
                <w:u w:val="single"/>
              </w:rPr>
              <w:t>Risk Acceptance</w:t>
            </w:r>
            <w:r>
              <w:rPr>
                <w:rFonts w:ascii="Arial" w:hAnsi="Arial" w:cs="Arial"/>
                <w:color w:val="000000"/>
                <w:sz w:val="24"/>
                <w:szCs w:val="24"/>
              </w:rPr>
              <w:t xml:space="preserve"> is a risk response planning technique that indicates that the project team has decided not to change the project management plan to deal with a risk or is unable to identify any other suitable response strategy.  It’s the process of simply accepting the risks, because no other action is feasible, or the risks are deemed to be of small probability, impact, or both, and a formal response is not warranted. Acceptance entails taking no action unless the risk </w:t>
            </w:r>
            <w:proofErr w:type="gramStart"/>
            <w:r>
              <w:rPr>
                <w:rFonts w:ascii="Arial" w:hAnsi="Arial" w:cs="Arial"/>
                <w:color w:val="000000"/>
                <w:sz w:val="24"/>
                <w:szCs w:val="24"/>
              </w:rPr>
              <w:t>actually occurs</w:t>
            </w:r>
            <w:proofErr w:type="gramEnd"/>
            <w:r>
              <w:rPr>
                <w:rFonts w:ascii="Arial" w:hAnsi="Arial" w:cs="Arial"/>
                <w:color w:val="000000"/>
                <w:sz w:val="24"/>
                <w:szCs w:val="24"/>
              </w:rPr>
              <w:t>, in which case contingency or fallback plans may be developed ahead of time, to be implemented if the risk presents itself. A contingency plan will be a predefined set of actions to be taken by the project team should the risk event occur. Most risk acceptance policies rely on a contingency allowance for the project, which is usually an amount of money.</w:t>
            </w:r>
          </w:p>
          <w:p w14:paraId="5B55ABA1" w14:textId="77777777" w:rsidR="007A3468" w:rsidRDefault="007A3468" w:rsidP="007A3468">
            <w:pPr>
              <w:spacing w:line="360" w:lineRule="auto"/>
              <w:jc w:val="both"/>
              <w:rPr>
                <w:rFonts w:ascii="Arial" w:hAnsi="Arial" w:cs="Arial"/>
                <w:color w:val="000000"/>
                <w:sz w:val="24"/>
                <w:szCs w:val="24"/>
              </w:rPr>
            </w:pPr>
          </w:p>
          <w:p w14:paraId="3063559F" w14:textId="01E3DDA3" w:rsidR="007A3468" w:rsidRDefault="007A3468" w:rsidP="00F77C73">
            <w:pPr>
              <w:pStyle w:val="ListParagraph"/>
              <w:numPr>
                <w:ilvl w:val="1"/>
                <w:numId w:val="2"/>
              </w:numPr>
              <w:spacing w:line="360" w:lineRule="auto"/>
              <w:ind w:left="1434" w:hanging="357"/>
              <w:jc w:val="both"/>
              <w:rPr>
                <w:rFonts w:ascii="Arial" w:hAnsi="Arial" w:cs="Arial"/>
                <w:color w:val="000000"/>
                <w:sz w:val="24"/>
                <w:szCs w:val="24"/>
              </w:rPr>
            </w:pPr>
            <w:r w:rsidRPr="00712254">
              <w:rPr>
                <w:rFonts w:ascii="Arial" w:hAnsi="Arial" w:cs="Arial"/>
                <w:color w:val="000000"/>
                <w:sz w:val="24"/>
                <w:szCs w:val="24"/>
                <w:u w:val="single"/>
              </w:rPr>
              <w:t>Risk Transfers</w:t>
            </w:r>
            <w:r w:rsidRPr="00B52C01">
              <w:rPr>
                <w:rFonts w:ascii="Arial" w:hAnsi="Arial" w:cs="Arial"/>
                <w:color w:val="000000"/>
                <w:sz w:val="24"/>
                <w:szCs w:val="24"/>
              </w:rPr>
              <w:t xml:space="preserve"> </w:t>
            </w:r>
            <w:r>
              <w:rPr>
                <w:rFonts w:ascii="Arial" w:hAnsi="Arial" w:cs="Arial"/>
                <w:color w:val="000000"/>
                <w:sz w:val="24"/>
                <w:szCs w:val="24"/>
              </w:rPr>
              <w:t xml:space="preserve">is a risk response planning technique that shifts the impact of a threat to a third party, together with ownership, that is usually in a better position to address a </w:t>
            </w:r>
            <w:r>
              <w:rPr>
                <w:rFonts w:ascii="Arial" w:hAnsi="Arial" w:cs="Arial"/>
                <w:color w:val="000000"/>
                <w:sz w:val="24"/>
                <w:szCs w:val="24"/>
              </w:rPr>
              <w:t>treat</w:t>
            </w:r>
            <w:r>
              <w:rPr>
                <w:rFonts w:ascii="Arial" w:hAnsi="Arial" w:cs="Arial"/>
                <w:color w:val="000000"/>
                <w:sz w:val="24"/>
                <w:szCs w:val="24"/>
              </w:rPr>
              <w:t xml:space="preserve"> or opportunity. The risk doesn’t disappear, it is simply someone else’s problem. Transference of a risk usually cost a premium for the third party to own and manage that risk.  Here’s a few common examples of risk transfers, namely:</w:t>
            </w:r>
          </w:p>
          <w:p w14:paraId="6DD877F8" w14:textId="77777777" w:rsidR="007A3468" w:rsidRDefault="007A3468" w:rsidP="00F77C73">
            <w:pPr>
              <w:pStyle w:val="ListParagraph"/>
              <w:numPr>
                <w:ilvl w:val="0"/>
                <w:numId w:val="7"/>
              </w:numPr>
              <w:spacing w:line="360" w:lineRule="auto"/>
              <w:jc w:val="both"/>
              <w:rPr>
                <w:rFonts w:ascii="Arial" w:hAnsi="Arial" w:cs="Arial"/>
                <w:color w:val="000000"/>
                <w:sz w:val="24"/>
                <w:szCs w:val="24"/>
              </w:rPr>
            </w:pPr>
            <w:r>
              <w:rPr>
                <w:rFonts w:ascii="Arial" w:hAnsi="Arial" w:cs="Arial"/>
                <w:color w:val="000000"/>
                <w:sz w:val="24"/>
                <w:szCs w:val="24"/>
              </w:rPr>
              <w:t>Insurance;</w:t>
            </w:r>
          </w:p>
          <w:p w14:paraId="247F62AD" w14:textId="77777777" w:rsidR="007A3468" w:rsidRDefault="007A3468" w:rsidP="00F77C73">
            <w:pPr>
              <w:pStyle w:val="ListParagraph"/>
              <w:numPr>
                <w:ilvl w:val="0"/>
                <w:numId w:val="7"/>
              </w:numPr>
              <w:spacing w:line="360" w:lineRule="auto"/>
              <w:jc w:val="both"/>
              <w:rPr>
                <w:rFonts w:ascii="Arial" w:hAnsi="Arial" w:cs="Arial"/>
                <w:color w:val="000000"/>
                <w:sz w:val="24"/>
                <w:szCs w:val="24"/>
              </w:rPr>
            </w:pPr>
            <w:r>
              <w:rPr>
                <w:rFonts w:ascii="Arial" w:hAnsi="Arial" w:cs="Arial"/>
                <w:color w:val="000000"/>
                <w:sz w:val="24"/>
                <w:szCs w:val="24"/>
              </w:rPr>
              <w:t>Fixed-priced contracts;</w:t>
            </w:r>
          </w:p>
          <w:p w14:paraId="45F94ACF" w14:textId="77777777" w:rsidR="007A3468" w:rsidRDefault="007A3468" w:rsidP="00F77C73">
            <w:pPr>
              <w:pStyle w:val="ListParagraph"/>
              <w:numPr>
                <w:ilvl w:val="0"/>
                <w:numId w:val="7"/>
              </w:numPr>
              <w:spacing w:line="360" w:lineRule="auto"/>
              <w:jc w:val="both"/>
              <w:rPr>
                <w:rFonts w:ascii="Arial" w:hAnsi="Arial" w:cs="Arial"/>
                <w:color w:val="000000"/>
                <w:sz w:val="24"/>
                <w:szCs w:val="24"/>
              </w:rPr>
            </w:pPr>
            <w:r>
              <w:rPr>
                <w:rFonts w:ascii="Arial" w:hAnsi="Arial" w:cs="Arial"/>
                <w:color w:val="000000"/>
                <w:sz w:val="24"/>
                <w:szCs w:val="24"/>
              </w:rPr>
              <w:t>Warrantees;</w:t>
            </w:r>
          </w:p>
          <w:p w14:paraId="07B7B760" w14:textId="77777777" w:rsidR="007A3468" w:rsidRDefault="007A3468" w:rsidP="00F77C73">
            <w:pPr>
              <w:pStyle w:val="ListParagraph"/>
              <w:numPr>
                <w:ilvl w:val="0"/>
                <w:numId w:val="7"/>
              </w:numPr>
              <w:spacing w:line="360" w:lineRule="auto"/>
              <w:jc w:val="both"/>
              <w:rPr>
                <w:rFonts w:ascii="Arial" w:hAnsi="Arial" w:cs="Arial"/>
                <w:color w:val="000000"/>
                <w:sz w:val="24"/>
                <w:szCs w:val="24"/>
              </w:rPr>
            </w:pPr>
            <w:r>
              <w:rPr>
                <w:rFonts w:ascii="Arial" w:hAnsi="Arial" w:cs="Arial"/>
                <w:color w:val="000000"/>
                <w:sz w:val="24"/>
                <w:szCs w:val="24"/>
              </w:rPr>
              <w:t>Guarantees;</w:t>
            </w:r>
          </w:p>
          <w:p w14:paraId="2E029EFD" w14:textId="77777777" w:rsidR="007A3468" w:rsidRPr="00B52C01" w:rsidRDefault="007A3468" w:rsidP="00F77C73">
            <w:pPr>
              <w:pStyle w:val="ListParagraph"/>
              <w:numPr>
                <w:ilvl w:val="0"/>
                <w:numId w:val="7"/>
              </w:numPr>
              <w:spacing w:line="360" w:lineRule="auto"/>
              <w:jc w:val="both"/>
              <w:rPr>
                <w:rFonts w:ascii="Arial" w:hAnsi="Arial" w:cs="Arial"/>
                <w:color w:val="000000"/>
                <w:sz w:val="24"/>
                <w:szCs w:val="24"/>
              </w:rPr>
            </w:pPr>
            <w:r>
              <w:rPr>
                <w:rFonts w:ascii="Arial" w:hAnsi="Arial" w:cs="Arial"/>
                <w:color w:val="000000"/>
                <w:sz w:val="24"/>
                <w:szCs w:val="24"/>
              </w:rPr>
              <w:t>Performance bonds</w:t>
            </w:r>
          </w:p>
          <w:p w14:paraId="359A23D5" w14:textId="77777777" w:rsidR="007A3468" w:rsidRPr="00F779BD" w:rsidRDefault="007A3468" w:rsidP="007A3468">
            <w:pPr>
              <w:spacing w:line="360" w:lineRule="auto"/>
              <w:jc w:val="both"/>
              <w:rPr>
                <w:rFonts w:ascii="Arial" w:hAnsi="Arial" w:cs="Arial"/>
                <w:color w:val="000000"/>
                <w:sz w:val="24"/>
                <w:szCs w:val="24"/>
              </w:rPr>
            </w:pPr>
          </w:p>
          <w:p w14:paraId="1B376744" w14:textId="1DBA6127" w:rsidR="007A3468" w:rsidRPr="006C5B6D" w:rsidRDefault="007A3468" w:rsidP="007A3468">
            <w:pPr>
              <w:rPr>
                <w:rFonts w:ascii="Arial" w:hAnsi="Arial" w:cs="Arial"/>
                <w:color w:val="000000"/>
                <w:sz w:val="24"/>
                <w:szCs w:val="24"/>
              </w:rPr>
            </w:pPr>
            <w:r>
              <w:rPr>
                <w:rFonts w:ascii="Arial" w:hAnsi="Arial" w:cs="Arial"/>
                <w:color w:val="000000"/>
                <w:sz w:val="24"/>
                <w:szCs w:val="24"/>
              </w:rPr>
              <w:lastRenderedPageBreak/>
              <w:br w:type="page"/>
            </w:r>
          </w:p>
          <w:p w14:paraId="37814C7B" w14:textId="77777777" w:rsidR="007A3468" w:rsidRDefault="007A3468" w:rsidP="00F77C73">
            <w:pPr>
              <w:pStyle w:val="ListParagraph"/>
              <w:numPr>
                <w:ilvl w:val="0"/>
                <w:numId w:val="2"/>
              </w:numPr>
              <w:spacing w:line="360" w:lineRule="auto"/>
              <w:jc w:val="both"/>
              <w:rPr>
                <w:rFonts w:ascii="Arial" w:hAnsi="Arial" w:cs="Arial"/>
                <w:color w:val="000000"/>
                <w:sz w:val="24"/>
                <w:szCs w:val="24"/>
              </w:rPr>
            </w:pPr>
            <w:r w:rsidRPr="00275B00">
              <w:rPr>
                <w:rFonts w:ascii="Arial" w:hAnsi="Arial" w:cs="Arial"/>
                <w:color w:val="000000"/>
                <w:sz w:val="24"/>
                <w:szCs w:val="24"/>
                <w:u w:val="single"/>
              </w:rPr>
              <w:t>Risk Mitigation</w:t>
            </w:r>
            <w:r>
              <w:rPr>
                <w:rFonts w:ascii="Arial" w:hAnsi="Arial" w:cs="Arial"/>
                <w:color w:val="000000"/>
                <w:sz w:val="24"/>
                <w:szCs w:val="24"/>
              </w:rPr>
              <w:t xml:space="preserve"> is a risk response planning technique associated with treats that seeks to reduce the probability and/or likelihood of occurrence or impact of an adverse risk to below an acceptable threshold. Mitigation is also the most widely applicable and widely used response strategy on a project. Mitigation plans can be created in order that they might be implemented should an identified risk cross a given threshold, for example, a manufacturing project may have a mitigation plan to reduce the number of units created per hour should the equipment’s temperature cross a given threshold.  The cost and time required to reduce or eliminate the risks is sometimes more cost effective than repairing the damage caused by the risk.  Here’s a few examples to mitigate risk, namely:</w:t>
            </w:r>
          </w:p>
          <w:p w14:paraId="765FEE09" w14:textId="77777777" w:rsidR="007A3468" w:rsidRDefault="007A3468" w:rsidP="00F77C73">
            <w:pPr>
              <w:pStyle w:val="ListParagraph"/>
              <w:numPr>
                <w:ilvl w:val="0"/>
                <w:numId w:val="8"/>
              </w:numPr>
              <w:spacing w:line="360" w:lineRule="auto"/>
              <w:ind w:left="1434" w:hanging="357"/>
              <w:jc w:val="both"/>
              <w:rPr>
                <w:rFonts w:ascii="Arial" w:hAnsi="Arial" w:cs="Arial"/>
                <w:color w:val="000000"/>
                <w:sz w:val="24"/>
                <w:szCs w:val="24"/>
              </w:rPr>
            </w:pPr>
            <w:r>
              <w:rPr>
                <w:rFonts w:ascii="Arial" w:hAnsi="Arial" w:cs="Arial"/>
                <w:color w:val="000000"/>
                <w:sz w:val="24"/>
                <w:szCs w:val="24"/>
              </w:rPr>
              <w:t>Clarify the requirements;</w:t>
            </w:r>
          </w:p>
          <w:p w14:paraId="593BC9ED" w14:textId="77777777" w:rsidR="007A3468" w:rsidRDefault="007A3468" w:rsidP="00F77C73">
            <w:pPr>
              <w:pStyle w:val="ListParagraph"/>
              <w:numPr>
                <w:ilvl w:val="0"/>
                <w:numId w:val="8"/>
              </w:numPr>
              <w:spacing w:line="360" w:lineRule="auto"/>
              <w:ind w:left="1434" w:hanging="357"/>
              <w:jc w:val="both"/>
              <w:rPr>
                <w:rFonts w:ascii="Arial" w:hAnsi="Arial" w:cs="Arial"/>
                <w:color w:val="000000"/>
                <w:sz w:val="24"/>
                <w:szCs w:val="24"/>
              </w:rPr>
            </w:pPr>
            <w:r>
              <w:rPr>
                <w:rFonts w:ascii="Arial" w:hAnsi="Arial" w:cs="Arial"/>
                <w:color w:val="000000"/>
                <w:sz w:val="24"/>
                <w:szCs w:val="24"/>
              </w:rPr>
              <w:t>Get the right team on board;</w:t>
            </w:r>
          </w:p>
          <w:p w14:paraId="65BE7046" w14:textId="77777777" w:rsidR="007A3468" w:rsidRDefault="007A3468" w:rsidP="00F77C73">
            <w:pPr>
              <w:pStyle w:val="ListParagraph"/>
              <w:numPr>
                <w:ilvl w:val="0"/>
                <w:numId w:val="8"/>
              </w:numPr>
              <w:spacing w:line="360" w:lineRule="auto"/>
              <w:ind w:left="1434" w:hanging="357"/>
              <w:jc w:val="both"/>
              <w:rPr>
                <w:rFonts w:ascii="Arial" w:hAnsi="Arial" w:cs="Arial"/>
                <w:color w:val="000000"/>
                <w:sz w:val="24"/>
                <w:szCs w:val="24"/>
              </w:rPr>
            </w:pPr>
            <w:r>
              <w:rPr>
                <w:rFonts w:ascii="Arial" w:hAnsi="Arial" w:cs="Arial"/>
                <w:color w:val="000000"/>
                <w:sz w:val="24"/>
                <w:szCs w:val="24"/>
              </w:rPr>
              <w:t>Spread the risk, which is a useful risk management strategy;</w:t>
            </w:r>
          </w:p>
          <w:p w14:paraId="55E60BD7" w14:textId="77777777" w:rsidR="007A3468" w:rsidRDefault="007A3468" w:rsidP="00F77C73">
            <w:pPr>
              <w:pStyle w:val="ListParagraph"/>
              <w:numPr>
                <w:ilvl w:val="0"/>
                <w:numId w:val="8"/>
              </w:numPr>
              <w:spacing w:line="360" w:lineRule="auto"/>
              <w:ind w:left="1434" w:hanging="357"/>
              <w:jc w:val="both"/>
              <w:rPr>
                <w:rFonts w:ascii="Arial" w:hAnsi="Arial" w:cs="Arial"/>
                <w:color w:val="000000"/>
                <w:sz w:val="24"/>
                <w:szCs w:val="24"/>
              </w:rPr>
            </w:pPr>
            <w:r>
              <w:rPr>
                <w:rFonts w:ascii="Arial" w:hAnsi="Arial" w:cs="Arial"/>
                <w:color w:val="000000"/>
                <w:sz w:val="24"/>
                <w:szCs w:val="24"/>
              </w:rPr>
              <w:t>Communicate and listen to others;</w:t>
            </w:r>
          </w:p>
          <w:p w14:paraId="75610BD9" w14:textId="77777777" w:rsidR="007A3468" w:rsidRDefault="007A3468" w:rsidP="00F77C73">
            <w:pPr>
              <w:pStyle w:val="ListParagraph"/>
              <w:numPr>
                <w:ilvl w:val="0"/>
                <w:numId w:val="8"/>
              </w:numPr>
              <w:spacing w:line="360" w:lineRule="auto"/>
              <w:ind w:left="1434" w:hanging="357"/>
              <w:jc w:val="both"/>
              <w:rPr>
                <w:rFonts w:ascii="Arial" w:hAnsi="Arial" w:cs="Arial"/>
                <w:color w:val="000000"/>
                <w:sz w:val="24"/>
                <w:szCs w:val="24"/>
              </w:rPr>
            </w:pPr>
            <w:r>
              <w:rPr>
                <w:rFonts w:ascii="Arial" w:hAnsi="Arial" w:cs="Arial"/>
                <w:color w:val="000000"/>
                <w:sz w:val="24"/>
                <w:szCs w:val="24"/>
              </w:rPr>
              <w:t>Make use of feasibility studies and prototypes to test out ideas and solutions before construction or build;</w:t>
            </w:r>
          </w:p>
          <w:p w14:paraId="27106E62" w14:textId="77777777" w:rsidR="007A3468" w:rsidRDefault="007A3468" w:rsidP="00F77C73">
            <w:pPr>
              <w:pStyle w:val="ListParagraph"/>
              <w:numPr>
                <w:ilvl w:val="0"/>
                <w:numId w:val="8"/>
              </w:numPr>
              <w:spacing w:line="360" w:lineRule="auto"/>
              <w:ind w:left="1434" w:hanging="357"/>
              <w:jc w:val="both"/>
              <w:rPr>
                <w:rFonts w:ascii="Arial" w:hAnsi="Arial" w:cs="Arial"/>
                <w:color w:val="000000"/>
                <w:sz w:val="24"/>
                <w:szCs w:val="24"/>
              </w:rPr>
            </w:pPr>
            <w:r>
              <w:rPr>
                <w:rFonts w:ascii="Arial" w:hAnsi="Arial" w:cs="Arial"/>
                <w:color w:val="000000"/>
                <w:sz w:val="24"/>
                <w:szCs w:val="24"/>
              </w:rPr>
              <w:t>Adding activities to the project to reduce the risk probability or impact;</w:t>
            </w:r>
          </w:p>
          <w:p w14:paraId="3C676478" w14:textId="77777777" w:rsidR="007A3468" w:rsidRDefault="007A3468" w:rsidP="00F77C73">
            <w:pPr>
              <w:pStyle w:val="ListParagraph"/>
              <w:numPr>
                <w:ilvl w:val="0"/>
                <w:numId w:val="8"/>
              </w:numPr>
              <w:spacing w:line="360" w:lineRule="auto"/>
              <w:ind w:left="1434" w:hanging="357"/>
              <w:jc w:val="both"/>
              <w:rPr>
                <w:rFonts w:ascii="Arial" w:hAnsi="Arial" w:cs="Arial"/>
                <w:color w:val="000000"/>
                <w:sz w:val="24"/>
                <w:szCs w:val="24"/>
              </w:rPr>
            </w:pPr>
            <w:r>
              <w:rPr>
                <w:rFonts w:ascii="Arial" w:hAnsi="Arial" w:cs="Arial"/>
                <w:color w:val="000000"/>
                <w:sz w:val="24"/>
                <w:szCs w:val="24"/>
              </w:rPr>
              <w:t>Technical and management reviews of processes;</w:t>
            </w:r>
          </w:p>
          <w:p w14:paraId="65861247" w14:textId="77777777" w:rsidR="007A3468" w:rsidRDefault="007A3468" w:rsidP="00F77C73">
            <w:pPr>
              <w:pStyle w:val="ListParagraph"/>
              <w:numPr>
                <w:ilvl w:val="0"/>
                <w:numId w:val="8"/>
              </w:numPr>
              <w:spacing w:line="360" w:lineRule="auto"/>
              <w:ind w:left="1434" w:hanging="357"/>
              <w:jc w:val="both"/>
              <w:rPr>
                <w:rFonts w:ascii="Arial" w:hAnsi="Arial" w:cs="Arial"/>
                <w:color w:val="000000"/>
                <w:sz w:val="24"/>
                <w:szCs w:val="24"/>
              </w:rPr>
            </w:pPr>
            <w:r>
              <w:rPr>
                <w:rFonts w:ascii="Arial" w:hAnsi="Arial" w:cs="Arial"/>
                <w:color w:val="000000"/>
                <w:sz w:val="24"/>
                <w:szCs w:val="24"/>
              </w:rPr>
              <w:t>Completing more tests on the project work before implementation, especially critical items;</w:t>
            </w:r>
          </w:p>
          <w:p w14:paraId="637820F5" w14:textId="77777777" w:rsidR="007A3468" w:rsidRDefault="007A3468" w:rsidP="00F77C73">
            <w:pPr>
              <w:pStyle w:val="ListParagraph"/>
              <w:numPr>
                <w:ilvl w:val="0"/>
                <w:numId w:val="8"/>
              </w:numPr>
              <w:spacing w:line="360" w:lineRule="auto"/>
              <w:ind w:left="1434" w:hanging="357"/>
              <w:jc w:val="both"/>
              <w:rPr>
                <w:rFonts w:ascii="Arial" w:hAnsi="Arial" w:cs="Arial"/>
                <w:color w:val="000000"/>
                <w:sz w:val="24"/>
                <w:szCs w:val="24"/>
              </w:rPr>
            </w:pPr>
            <w:r>
              <w:rPr>
                <w:rFonts w:ascii="Arial" w:hAnsi="Arial" w:cs="Arial"/>
                <w:color w:val="000000"/>
                <w:sz w:val="24"/>
                <w:szCs w:val="24"/>
              </w:rPr>
              <w:t>Developing prototypes, simulations, and limited releases;</w:t>
            </w:r>
          </w:p>
          <w:p w14:paraId="129537D0" w14:textId="77777777" w:rsidR="007A3468" w:rsidRDefault="007A3468" w:rsidP="00F77C73">
            <w:pPr>
              <w:pStyle w:val="ListParagraph"/>
              <w:numPr>
                <w:ilvl w:val="0"/>
                <w:numId w:val="8"/>
              </w:numPr>
              <w:spacing w:line="360" w:lineRule="auto"/>
              <w:ind w:left="1434" w:hanging="357"/>
              <w:jc w:val="both"/>
              <w:rPr>
                <w:rFonts w:ascii="Arial" w:hAnsi="Arial" w:cs="Arial"/>
                <w:color w:val="000000"/>
                <w:sz w:val="24"/>
                <w:szCs w:val="24"/>
              </w:rPr>
            </w:pPr>
            <w:r>
              <w:rPr>
                <w:rFonts w:ascii="Arial" w:hAnsi="Arial" w:cs="Arial"/>
                <w:color w:val="000000"/>
                <w:sz w:val="24"/>
                <w:szCs w:val="24"/>
              </w:rPr>
              <w:t>Consideration of relieving critical design requirements;</w:t>
            </w:r>
          </w:p>
          <w:p w14:paraId="018AF41E" w14:textId="77777777" w:rsidR="007A3468" w:rsidRDefault="007A3468" w:rsidP="00F77C73">
            <w:pPr>
              <w:pStyle w:val="ListParagraph"/>
              <w:numPr>
                <w:ilvl w:val="0"/>
                <w:numId w:val="8"/>
              </w:numPr>
              <w:spacing w:line="360" w:lineRule="auto"/>
              <w:ind w:left="1434" w:hanging="357"/>
              <w:jc w:val="both"/>
              <w:rPr>
                <w:rFonts w:ascii="Arial" w:hAnsi="Arial" w:cs="Arial"/>
                <w:color w:val="000000"/>
                <w:sz w:val="24"/>
                <w:szCs w:val="24"/>
              </w:rPr>
            </w:pPr>
            <w:r>
              <w:rPr>
                <w:rFonts w:ascii="Arial" w:hAnsi="Arial" w:cs="Arial"/>
                <w:color w:val="000000"/>
                <w:sz w:val="24"/>
                <w:szCs w:val="24"/>
              </w:rPr>
              <w:t>Initiation of fallback parallel developments;</w:t>
            </w:r>
          </w:p>
          <w:p w14:paraId="4AC3D64D" w14:textId="77777777" w:rsidR="007A3468" w:rsidRDefault="007A3468" w:rsidP="00F77C73">
            <w:pPr>
              <w:pStyle w:val="ListParagraph"/>
              <w:numPr>
                <w:ilvl w:val="0"/>
                <w:numId w:val="8"/>
              </w:numPr>
              <w:spacing w:line="360" w:lineRule="auto"/>
              <w:ind w:left="1434" w:hanging="357"/>
              <w:jc w:val="both"/>
              <w:rPr>
                <w:rFonts w:ascii="Arial" w:hAnsi="Arial" w:cs="Arial"/>
                <w:color w:val="000000"/>
                <w:sz w:val="24"/>
                <w:szCs w:val="24"/>
              </w:rPr>
            </w:pPr>
            <w:r>
              <w:rPr>
                <w:rFonts w:ascii="Arial" w:hAnsi="Arial" w:cs="Arial"/>
                <w:color w:val="000000"/>
                <w:sz w:val="24"/>
                <w:szCs w:val="24"/>
              </w:rPr>
              <w:t>Simplifying the processes within the project (lean six sigma);</w:t>
            </w:r>
          </w:p>
          <w:p w14:paraId="560112AD" w14:textId="77777777" w:rsidR="007A3468" w:rsidRDefault="007A3468" w:rsidP="00F77C73">
            <w:pPr>
              <w:pStyle w:val="ListParagraph"/>
              <w:numPr>
                <w:ilvl w:val="0"/>
                <w:numId w:val="8"/>
              </w:numPr>
              <w:spacing w:line="360" w:lineRule="auto"/>
              <w:jc w:val="both"/>
              <w:rPr>
                <w:rFonts w:ascii="Arial" w:hAnsi="Arial" w:cs="Arial"/>
                <w:color w:val="000000"/>
                <w:sz w:val="24"/>
                <w:szCs w:val="24"/>
              </w:rPr>
            </w:pPr>
            <w:r>
              <w:rPr>
                <w:rFonts w:ascii="Arial" w:hAnsi="Arial" w:cs="Arial"/>
                <w:color w:val="000000"/>
                <w:sz w:val="24"/>
                <w:szCs w:val="24"/>
              </w:rPr>
              <w:t xml:space="preserve">Have a </w:t>
            </w:r>
            <w:r w:rsidRPr="00D550BE">
              <w:rPr>
                <w:rFonts w:ascii="Arial" w:hAnsi="Arial" w:cs="Arial"/>
                <w:color w:val="000000"/>
                <w:sz w:val="24"/>
                <w:szCs w:val="24"/>
                <w:u w:val="single"/>
              </w:rPr>
              <w:t>Plan B</w:t>
            </w:r>
            <w:r>
              <w:rPr>
                <w:rFonts w:ascii="Arial" w:hAnsi="Arial" w:cs="Arial"/>
                <w:color w:val="000000"/>
                <w:sz w:val="24"/>
                <w:szCs w:val="24"/>
              </w:rPr>
              <w:t>, for the unplannable risks, this could be;</w:t>
            </w:r>
          </w:p>
          <w:p w14:paraId="02365FD4" w14:textId="77777777" w:rsidR="007A3468" w:rsidRDefault="007A3468" w:rsidP="00F77C73">
            <w:pPr>
              <w:pStyle w:val="ListParagraph"/>
              <w:numPr>
                <w:ilvl w:val="0"/>
                <w:numId w:val="9"/>
              </w:numPr>
              <w:spacing w:line="360" w:lineRule="auto"/>
              <w:jc w:val="both"/>
              <w:rPr>
                <w:rFonts w:ascii="Arial" w:hAnsi="Arial" w:cs="Arial"/>
                <w:color w:val="000000"/>
                <w:sz w:val="24"/>
                <w:szCs w:val="24"/>
              </w:rPr>
            </w:pPr>
            <w:r>
              <w:rPr>
                <w:rFonts w:ascii="Arial" w:hAnsi="Arial" w:cs="Arial"/>
                <w:color w:val="000000"/>
                <w:sz w:val="24"/>
                <w:szCs w:val="24"/>
              </w:rPr>
              <w:t>Contingency funds;</w:t>
            </w:r>
          </w:p>
          <w:p w14:paraId="7B06E77B" w14:textId="77777777" w:rsidR="007A3468" w:rsidRDefault="007A3468" w:rsidP="00F77C73">
            <w:pPr>
              <w:pStyle w:val="ListParagraph"/>
              <w:numPr>
                <w:ilvl w:val="0"/>
                <w:numId w:val="9"/>
              </w:numPr>
              <w:spacing w:line="360" w:lineRule="auto"/>
              <w:jc w:val="both"/>
              <w:rPr>
                <w:rFonts w:ascii="Arial" w:hAnsi="Arial" w:cs="Arial"/>
                <w:color w:val="000000"/>
                <w:sz w:val="24"/>
                <w:szCs w:val="24"/>
              </w:rPr>
            </w:pPr>
            <w:r>
              <w:rPr>
                <w:rFonts w:ascii="Arial" w:hAnsi="Arial" w:cs="Arial"/>
                <w:color w:val="000000"/>
                <w:sz w:val="24"/>
                <w:szCs w:val="24"/>
              </w:rPr>
              <w:t>Float in the plan;</w:t>
            </w:r>
          </w:p>
          <w:p w14:paraId="52EB64FA" w14:textId="77777777" w:rsidR="007A3468" w:rsidRDefault="007A3468" w:rsidP="00F77C73">
            <w:pPr>
              <w:pStyle w:val="ListParagraph"/>
              <w:numPr>
                <w:ilvl w:val="0"/>
                <w:numId w:val="9"/>
              </w:numPr>
              <w:spacing w:line="360" w:lineRule="auto"/>
              <w:jc w:val="both"/>
              <w:rPr>
                <w:rFonts w:ascii="Arial" w:hAnsi="Arial" w:cs="Arial"/>
                <w:color w:val="000000"/>
                <w:sz w:val="24"/>
                <w:szCs w:val="24"/>
              </w:rPr>
            </w:pPr>
            <w:r>
              <w:rPr>
                <w:rFonts w:ascii="Arial" w:hAnsi="Arial" w:cs="Arial"/>
                <w:color w:val="000000"/>
                <w:sz w:val="24"/>
                <w:szCs w:val="24"/>
              </w:rPr>
              <w:t>Additional resources on standby;</w:t>
            </w:r>
          </w:p>
          <w:p w14:paraId="2B8DAF00" w14:textId="77777777" w:rsidR="007A3468" w:rsidRPr="00D550BE" w:rsidRDefault="007A3468" w:rsidP="00F77C73">
            <w:pPr>
              <w:pStyle w:val="ListParagraph"/>
              <w:numPr>
                <w:ilvl w:val="0"/>
                <w:numId w:val="9"/>
              </w:numPr>
              <w:spacing w:line="360" w:lineRule="auto"/>
              <w:jc w:val="both"/>
              <w:rPr>
                <w:rFonts w:ascii="Arial" w:hAnsi="Arial" w:cs="Arial"/>
                <w:color w:val="000000"/>
                <w:sz w:val="24"/>
                <w:szCs w:val="24"/>
              </w:rPr>
            </w:pPr>
            <w:r w:rsidRPr="00D550BE">
              <w:rPr>
                <w:rFonts w:ascii="Arial" w:hAnsi="Arial" w:cs="Arial"/>
                <w:color w:val="000000"/>
                <w:sz w:val="24"/>
                <w:szCs w:val="24"/>
              </w:rPr>
              <w:t>Options to sub-divide project or reduce scope.</w:t>
            </w:r>
            <w:r w:rsidRPr="00D550BE">
              <w:rPr>
                <w:rFonts w:ascii="Arial" w:hAnsi="Arial" w:cs="Arial"/>
                <w:color w:val="000000"/>
                <w:sz w:val="24"/>
                <w:szCs w:val="24"/>
              </w:rPr>
              <w:br w:type="page"/>
            </w:r>
          </w:p>
          <w:p w14:paraId="757F6737" w14:textId="122DD738" w:rsidR="007A3468" w:rsidRDefault="007A3468" w:rsidP="007A3468">
            <w:pPr>
              <w:spacing w:line="360" w:lineRule="auto"/>
              <w:jc w:val="both"/>
              <w:rPr>
                <w:rFonts w:ascii="Arial" w:hAnsi="Arial" w:cs="Arial"/>
                <w:color w:val="000000"/>
                <w:sz w:val="24"/>
                <w:szCs w:val="24"/>
              </w:rPr>
            </w:pPr>
          </w:p>
          <w:p w14:paraId="03A63376" w14:textId="1A10E2DD" w:rsidR="007A3468" w:rsidRDefault="007A3468" w:rsidP="007A3468">
            <w:pPr>
              <w:spacing w:line="360" w:lineRule="auto"/>
              <w:jc w:val="both"/>
              <w:rPr>
                <w:rFonts w:ascii="Arial" w:hAnsi="Arial" w:cs="Arial"/>
                <w:color w:val="000000"/>
                <w:sz w:val="24"/>
                <w:szCs w:val="24"/>
              </w:rPr>
            </w:pPr>
          </w:p>
          <w:p w14:paraId="14DC01D5" w14:textId="77777777" w:rsidR="007A3468" w:rsidRPr="00F779BD" w:rsidRDefault="007A3468" w:rsidP="007A3468">
            <w:pPr>
              <w:spacing w:line="360" w:lineRule="auto"/>
              <w:jc w:val="both"/>
              <w:rPr>
                <w:rFonts w:ascii="Arial" w:hAnsi="Arial" w:cs="Arial"/>
                <w:color w:val="000000"/>
                <w:sz w:val="24"/>
                <w:szCs w:val="24"/>
              </w:rPr>
            </w:pPr>
          </w:p>
          <w:p w14:paraId="33A7AF7A" w14:textId="11BCE313" w:rsidR="007A3468" w:rsidRPr="001E68CC" w:rsidRDefault="007A3468" w:rsidP="00F77C73">
            <w:pPr>
              <w:pStyle w:val="ListParagraph"/>
              <w:numPr>
                <w:ilvl w:val="0"/>
                <w:numId w:val="2"/>
              </w:numPr>
              <w:spacing w:line="360" w:lineRule="auto"/>
              <w:ind w:left="714" w:hanging="357"/>
              <w:jc w:val="both"/>
              <w:rPr>
                <w:rFonts w:ascii="Arial" w:hAnsi="Arial" w:cs="Arial"/>
                <w:color w:val="000000"/>
                <w:sz w:val="24"/>
                <w:szCs w:val="24"/>
              </w:rPr>
            </w:pPr>
            <w:r w:rsidRPr="0004439D">
              <w:rPr>
                <w:rFonts w:ascii="Arial" w:hAnsi="Arial" w:cs="Arial"/>
                <w:color w:val="000000"/>
                <w:sz w:val="24"/>
                <w:szCs w:val="24"/>
              </w:rPr>
              <w:t xml:space="preserve">Risk management is the systematic </w:t>
            </w:r>
            <w:r w:rsidRPr="00F82082">
              <w:rPr>
                <w:rFonts w:ascii="Arial" w:hAnsi="Arial" w:cs="Arial"/>
                <w:color w:val="000000"/>
                <w:sz w:val="24"/>
                <w:szCs w:val="24"/>
                <w:u w:val="single"/>
              </w:rPr>
              <w:t>process of identifying</w:t>
            </w:r>
            <w:r w:rsidRPr="0004439D">
              <w:rPr>
                <w:rFonts w:ascii="Arial" w:hAnsi="Arial" w:cs="Arial"/>
                <w:color w:val="000000"/>
                <w:sz w:val="24"/>
                <w:szCs w:val="24"/>
              </w:rPr>
              <w:t xml:space="preserve">, </w:t>
            </w:r>
            <w:r w:rsidRPr="0004439D">
              <w:rPr>
                <w:rFonts w:ascii="Arial" w:hAnsi="Arial" w:cs="Arial"/>
                <w:color w:val="000000"/>
                <w:sz w:val="24"/>
                <w:szCs w:val="24"/>
              </w:rPr>
              <w:t>analyzing</w:t>
            </w:r>
            <w:r w:rsidRPr="0004439D">
              <w:rPr>
                <w:rFonts w:ascii="Arial" w:hAnsi="Arial" w:cs="Arial"/>
                <w:color w:val="000000"/>
                <w:sz w:val="24"/>
                <w:szCs w:val="24"/>
              </w:rPr>
              <w:t xml:space="preserve"> and responding to </w:t>
            </w:r>
            <w:r w:rsidRPr="00F82082">
              <w:rPr>
                <w:rFonts w:ascii="Arial" w:hAnsi="Arial" w:cs="Arial"/>
                <w:color w:val="000000"/>
                <w:sz w:val="24"/>
                <w:szCs w:val="24"/>
                <w:u w:val="single"/>
              </w:rPr>
              <w:t>project risk</w:t>
            </w:r>
            <w:r w:rsidRPr="0004439D">
              <w:rPr>
                <w:rFonts w:ascii="Arial" w:hAnsi="Arial" w:cs="Arial"/>
                <w:color w:val="000000"/>
                <w:sz w:val="24"/>
                <w:szCs w:val="24"/>
              </w:rPr>
              <w:t xml:space="preserve">. </w:t>
            </w:r>
            <w:r>
              <w:rPr>
                <w:rFonts w:ascii="Arial" w:hAnsi="Arial" w:cs="Arial"/>
                <w:color w:val="000000"/>
                <w:sz w:val="24"/>
                <w:szCs w:val="24"/>
              </w:rPr>
              <w:t xml:space="preserve">A risk cannot be managed unless it is first identified. The project risk management process aims to identify all the knowable risks to project objectives. It is also impossible to identify all the risks at the outset of a project. Over time, the level of project risk exposure changes as a result of the decisions and actions taken previously in the project. The main purpose of risk identification is to identify risks to the maximum extent that is practicable.  The risk process needs to be repeated, to identify new potential risks, which have become knowable since the previous iteration of the process. </w:t>
            </w:r>
            <w:r w:rsidRPr="001E68CC">
              <w:rPr>
                <w:rFonts w:ascii="Arial" w:hAnsi="Arial" w:cs="Arial"/>
                <w:color w:val="000000"/>
                <w:sz w:val="24"/>
                <w:szCs w:val="24"/>
              </w:rPr>
              <w:t>Risks, or vulnerabilities, are always present on any project, typical aspects of concern are, (</w:t>
            </w:r>
            <w:proofErr w:type="spellStart"/>
            <w:r w:rsidRPr="001E68CC">
              <w:rPr>
                <w:rFonts w:ascii="Arial" w:hAnsi="Arial" w:cs="Arial"/>
                <w:color w:val="000000"/>
                <w:sz w:val="24"/>
                <w:szCs w:val="24"/>
              </w:rPr>
              <w:t>i</w:t>
            </w:r>
            <w:proofErr w:type="spellEnd"/>
            <w:r w:rsidRPr="001E68CC">
              <w:rPr>
                <w:rFonts w:ascii="Arial" w:hAnsi="Arial" w:cs="Arial"/>
                <w:color w:val="000000"/>
                <w:sz w:val="24"/>
                <w:szCs w:val="24"/>
              </w:rPr>
              <w:t xml:space="preserve">) site accidents/damage to property, (ii) delays and disputes arising from late working drawings, (iii) indecision by the client, (iv) reliability of suppliers, (v) possible strikes resulting in disruptions, and (vi) groundwork and environmental hazards impacting on construction methods. Before getting down to the process of identifying project risks, it’s important that the critical success factors of a project be identified. Critical success factors are those factors that must be completed for the project’s objective to be </w:t>
            </w:r>
            <w:r w:rsidRPr="001E68CC">
              <w:rPr>
                <w:rFonts w:ascii="Arial" w:hAnsi="Arial" w:cs="Arial"/>
                <w:color w:val="000000"/>
                <w:sz w:val="24"/>
                <w:szCs w:val="24"/>
              </w:rPr>
              <w:t>realized</w:t>
            </w:r>
            <w:r w:rsidRPr="001E68CC">
              <w:rPr>
                <w:rFonts w:ascii="Arial" w:hAnsi="Arial" w:cs="Arial"/>
                <w:color w:val="000000"/>
                <w:sz w:val="24"/>
                <w:szCs w:val="24"/>
              </w:rPr>
              <w:t xml:space="preserve">. The identification of these critical success factors will help </w:t>
            </w:r>
            <w:r w:rsidRPr="001E68CC">
              <w:rPr>
                <w:rFonts w:ascii="Arial" w:hAnsi="Arial" w:cs="Arial"/>
                <w:color w:val="000000"/>
                <w:sz w:val="24"/>
                <w:szCs w:val="24"/>
              </w:rPr>
              <w:t>later</w:t>
            </w:r>
            <w:r w:rsidRPr="001E68CC">
              <w:rPr>
                <w:rFonts w:ascii="Arial" w:hAnsi="Arial" w:cs="Arial"/>
                <w:color w:val="000000"/>
                <w:sz w:val="24"/>
                <w:szCs w:val="24"/>
              </w:rPr>
              <w:t xml:space="preserve"> to identify risks, as risks will be those events that prevent the critical success factors from being met.</w:t>
            </w:r>
            <w:r>
              <w:rPr>
                <w:rFonts w:ascii="Arial" w:hAnsi="Arial" w:cs="Arial"/>
                <w:color w:val="000000"/>
                <w:sz w:val="24"/>
                <w:szCs w:val="24"/>
              </w:rPr>
              <w:t xml:space="preserve"> </w:t>
            </w:r>
            <w:r w:rsidRPr="001E68CC">
              <w:rPr>
                <w:rFonts w:ascii="Arial" w:hAnsi="Arial" w:cs="Arial"/>
                <w:color w:val="000000"/>
                <w:sz w:val="24"/>
                <w:szCs w:val="24"/>
              </w:rPr>
              <w:t xml:space="preserve">The identification approach begins with brainstorming sessions involving the manager and the team responsible for </w:t>
            </w:r>
            <w:r w:rsidRPr="001E68CC">
              <w:rPr>
                <w:rFonts w:ascii="Arial" w:hAnsi="Arial" w:cs="Arial"/>
                <w:color w:val="000000"/>
                <w:sz w:val="24"/>
                <w:szCs w:val="24"/>
              </w:rPr>
              <w:t>segments</w:t>
            </w:r>
            <w:r w:rsidRPr="001E68CC">
              <w:rPr>
                <w:rFonts w:ascii="Arial" w:hAnsi="Arial" w:cs="Arial"/>
                <w:color w:val="000000"/>
                <w:sz w:val="24"/>
                <w:szCs w:val="24"/>
              </w:rPr>
              <w:t xml:space="preserve"> of investigation, directed towards identifying and listing potential risks or hazards and the likely impacts.  However, other techniques such as interviewing experienced internal staff or seeking advice from outside specialists may sometimes be more appropriate. When a risk is first identified, potential responses may also be identified at the same time, which should be recorded during the risk identification process.</w:t>
            </w:r>
          </w:p>
          <w:p w14:paraId="4303B6F5" w14:textId="16600D1F" w:rsidR="007A3468" w:rsidRDefault="007A3468" w:rsidP="007A3468">
            <w:pPr>
              <w:rPr>
                <w:rFonts w:ascii="Arial" w:hAnsi="Arial" w:cs="Arial"/>
                <w:color w:val="000000"/>
                <w:sz w:val="24"/>
                <w:szCs w:val="24"/>
              </w:rPr>
            </w:pPr>
            <w:r>
              <w:rPr>
                <w:rFonts w:ascii="Arial" w:hAnsi="Arial" w:cs="Arial"/>
                <w:color w:val="000000"/>
                <w:sz w:val="24"/>
                <w:szCs w:val="24"/>
              </w:rPr>
              <w:br w:type="page"/>
            </w:r>
          </w:p>
          <w:p w14:paraId="7DE42118" w14:textId="33D696D2" w:rsidR="007A3468" w:rsidRDefault="007A3468" w:rsidP="007A3468">
            <w:pPr>
              <w:rPr>
                <w:rFonts w:ascii="Arial" w:hAnsi="Arial" w:cs="Arial"/>
                <w:color w:val="000000"/>
                <w:sz w:val="24"/>
                <w:szCs w:val="24"/>
              </w:rPr>
            </w:pPr>
          </w:p>
          <w:p w14:paraId="4A64CEEE" w14:textId="186355BB" w:rsidR="007A3468" w:rsidRDefault="007A3468" w:rsidP="007A3468">
            <w:pPr>
              <w:rPr>
                <w:rFonts w:ascii="Arial" w:hAnsi="Arial" w:cs="Arial"/>
                <w:color w:val="000000"/>
                <w:sz w:val="24"/>
                <w:szCs w:val="24"/>
              </w:rPr>
            </w:pPr>
          </w:p>
          <w:p w14:paraId="35DCB589" w14:textId="6F2D10FF" w:rsidR="007A3468" w:rsidRDefault="007A3468" w:rsidP="007A3468">
            <w:pPr>
              <w:rPr>
                <w:rFonts w:ascii="Arial" w:hAnsi="Arial" w:cs="Arial"/>
                <w:color w:val="000000"/>
                <w:sz w:val="24"/>
                <w:szCs w:val="24"/>
              </w:rPr>
            </w:pPr>
          </w:p>
          <w:p w14:paraId="2EF20ABD" w14:textId="1692B121" w:rsidR="007A3468" w:rsidRDefault="007A3468" w:rsidP="007A3468">
            <w:pPr>
              <w:rPr>
                <w:rFonts w:ascii="Arial" w:hAnsi="Arial" w:cs="Arial"/>
                <w:color w:val="000000"/>
                <w:sz w:val="24"/>
                <w:szCs w:val="24"/>
              </w:rPr>
            </w:pPr>
          </w:p>
          <w:p w14:paraId="14A208DF" w14:textId="273B0A3C" w:rsidR="007A3468" w:rsidRDefault="007A3468" w:rsidP="007A3468">
            <w:pPr>
              <w:rPr>
                <w:rFonts w:ascii="Arial" w:hAnsi="Arial" w:cs="Arial"/>
                <w:color w:val="000000"/>
                <w:sz w:val="24"/>
                <w:szCs w:val="24"/>
              </w:rPr>
            </w:pPr>
          </w:p>
          <w:p w14:paraId="1F04749E" w14:textId="08FA9C8E" w:rsidR="007A3468" w:rsidRDefault="007A3468" w:rsidP="007A3468">
            <w:pPr>
              <w:rPr>
                <w:rFonts w:ascii="Arial" w:hAnsi="Arial" w:cs="Arial"/>
                <w:color w:val="000000"/>
                <w:sz w:val="24"/>
                <w:szCs w:val="24"/>
              </w:rPr>
            </w:pPr>
          </w:p>
          <w:p w14:paraId="1154AE2F" w14:textId="77777777" w:rsidR="007A3468" w:rsidRDefault="007A3468" w:rsidP="007A3468">
            <w:pPr>
              <w:rPr>
                <w:rFonts w:ascii="Arial" w:hAnsi="Arial" w:cs="Arial"/>
                <w:color w:val="000000"/>
                <w:sz w:val="24"/>
                <w:szCs w:val="24"/>
              </w:rPr>
            </w:pPr>
          </w:p>
          <w:p w14:paraId="7DADFC70" w14:textId="77777777" w:rsidR="007A3468" w:rsidRDefault="007A3468" w:rsidP="007A3468">
            <w:pPr>
              <w:pStyle w:val="ListParagraph"/>
              <w:spacing w:line="360" w:lineRule="auto"/>
              <w:jc w:val="both"/>
              <w:rPr>
                <w:rFonts w:ascii="Arial" w:hAnsi="Arial" w:cs="Arial"/>
                <w:color w:val="000000"/>
                <w:sz w:val="24"/>
                <w:szCs w:val="24"/>
              </w:rPr>
            </w:pPr>
            <w:r>
              <w:rPr>
                <w:rFonts w:ascii="Arial" w:hAnsi="Arial" w:cs="Arial"/>
                <w:color w:val="000000"/>
                <w:sz w:val="24"/>
                <w:szCs w:val="24"/>
              </w:rPr>
              <w:t>An effective and practical risk identification process is described below:</w:t>
            </w:r>
          </w:p>
          <w:p w14:paraId="16BA5245" w14:textId="77777777" w:rsidR="007A3468" w:rsidRDefault="007A3468" w:rsidP="00F77C73">
            <w:pPr>
              <w:pStyle w:val="ListParagraph"/>
              <w:numPr>
                <w:ilvl w:val="0"/>
                <w:numId w:val="10"/>
              </w:numPr>
              <w:spacing w:line="360" w:lineRule="auto"/>
              <w:jc w:val="both"/>
              <w:rPr>
                <w:rFonts w:ascii="Arial" w:hAnsi="Arial" w:cs="Arial"/>
                <w:color w:val="000000"/>
                <w:sz w:val="24"/>
                <w:szCs w:val="24"/>
              </w:rPr>
            </w:pPr>
            <w:r>
              <w:rPr>
                <w:rFonts w:ascii="Arial" w:hAnsi="Arial" w:cs="Arial"/>
                <w:color w:val="000000"/>
                <w:sz w:val="24"/>
                <w:szCs w:val="24"/>
              </w:rPr>
              <w:t>Early (or Basic) Identification;</w:t>
            </w:r>
          </w:p>
          <w:p w14:paraId="04F2F092" w14:textId="77777777" w:rsidR="007A3468" w:rsidRDefault="007A3468" w:rsidP="00F77C73">
            <w:pPr>
              <w:pStyle w:val="ListParagraph"/>
              <w:numPr>
                <w:ilvl w:val="0"/>
                <w:numId w:val="11"/>
              </w:numPr>
              <w:spacing w:line="360" w:lineRule="auto"/>
              <w:jc w:val="both"/>
              <w:rPr>
                <w:rFonts w:ascii="Arial" w:hAnsi="Arial" w:cs="Arial"/>
                <w:color w:val="000000"/>
                <w:sz w:val="24"/>
                <w:szCs w:val="24"/>
              </w:rPr>
            </w:pPr>
            <w:r>
              <w:rPr>
                <w:rFonts w:ascii="Arial" w:hAnsi="Arial" w:cs="Arial"/>
                <w:color w:val="000000"/>
                <w:sz w:val="24"/>
                <w:szCs w:val="24"/>
              </w:rPr>
              <w:t>Risks should be identified as early as possible in the project.  Early risk identification at least enables the project to make key decisions and make changes where possible, it’s also often less costly.</w:t>
            </w:r>
          </w:p>
          <w:p w14:paraId="7703B9CC" w14:textId="77777777" w:rsidR="007A3468" w:rsidRDefault="007A3468" w:rsidP="00F77C73">
            <w:pPr>
              <w:pStyle w:val="ListParagraph"/>
              <w:numPr>
                <w:ilvl w:val="0"/>
                <w:numId w:val="10"/>
              </w:numPr>
              <w:spacing w:line="360" w:lineRule="auto"/>
              <w:jc w:val="both"/>
              <w:rPr>
                <w:rFonts w:ascii="Arial" w:hAnsi="Arial" w:cs="Arial"/>
                <w:color w:val="000000"/>
                <w:sz w:val="24"/>
                <w:szCs w:val="24"/>
              </w:rPr>
            </w:pPr>
            <w:r>
              <w:rPr>
                <w:rFonts w:ascii="Arial" w:hAnsi="Arial" w:cs="Arial"/>
                <w:color w:val="000000"/>
                <w:sz w:val="24"/>
                <w:szCs w:val="24"/>
              </w:rPr>
              <w:t>Iterative Identification;</w:t>
            </w:r>
          </w:p>
          <w:p w14:paraId="64FBC01E" w14:textId="77777777" w:rsidR="007A3468" w:rsidRDefault="007A3468" w:rsidP="00F77C73">
            <w:pPr>
              <w:pStyle w:val="ListParagraph"/>
              <w:numPr>
                <w:ilvl w:val="0"/>
                <w:numId w:val="11"/>
              </w:numPr>
              <w:spacing w:line="360" w:lineRule="auto"/>
              <w:jc w:val="both"/>
              <w:rPr>
                <w:rFonts w:ascii="Arial" w:hAnsi="Arial" w:cs="Arial"/>
                <w:color w:val="000000"/>
                <w:sz w:val="24"/>
                <w:szCs w:val="24"/>
              </w:rPr>
            </w:pPr>
            <w:r>
              <w:rPr>
                <w:rFonts w:ascii="Arial" w:hAnsi="Arial" w:cs="Arial"/>
                <w:color w:val="000000"/>
                <w:sz w:val="24"/>
                <w:szCs w:val="24"/>
              </w:rPr>
              <w:t>It’s not possible to identify all risks in the project, but it’s essential that risk identification process continues throughout the project life cycle.</w:t>
            </w:r>
          </w:p>
          <w:p w14:paraId="2906263A" w14:textId="77777777" w:rsidR="007A3468" w:rsidRDefault="007A3468" w:rsidP="00F77C73">
            <w:pPr>
              <w:pStyle w:val="ListParagraph"/>
              <w:numPr>
                <w:ilvl w:val="0"/>
                <w:numId w:val="10"/>
              </w:numPr>
              <w:spacing w:line="360" w:lineRule="auto"/>
              <w:jc w:val="both"/>
              <w:rPr>
                <w:rFonts w:ascii="Arial" w:hAnsi="Arial" w:cs="Arial"/>
                <w:color w:val="000000"/>
                <w:sz w:val="24"/>
                <w:szCs w:val="24"/>
              </w:rPr>
            </w:pPr>
            <w:r>
              <w:rPr>
                <w:rFonts w:ascii="Arial" w:hAnsi="Arial" w:cs="Arial"/>
                <w:color w:val="000000"/>
                <w:sz w:val="24"/>
                <w:szCs w:val="24"/>
              </w:rPr>
              <w:t>Emergent Identification;</w:t>
            </w:r>
          </w:p>
          <w:p w14:paraId="6BF5450D" w14:textId="77777777" w:rsidR="007A3468" w:rsidRDefault="007A3468" w:rsidP="00F77C73">
            <w:pPr>
              <w:pStyle w:val="ListParagraph"/>
              <w:numPr>
                <w:ilvl w:val="0"/>
                <w:numId w:val="11"/>
              </w:numPr>
              <w:spacing w:line="360" w:lineRule="auto"/>
              <w:jc w:val="both"/>
              <w:rPr>
                <w:rFonts w:ascii="Arial" w:hAnsi="Arial" w:cs="Arial"/>
                <w:color w:val="000000"/>
                <w:sz w:val="24"/>
                <w:szCs w:val="24"/>
              </w:rPr>
            </w:pPr>
            <w:r>
              <w:rPr>
                <w:rFonts w:ascii="Arial" w:hAnsi="Arial" w:cs="Arial"/>
                <w:color w:val="000000"/>
                <w:sz w:val="24"/>
                <w:szCs w:val="24"/>
              </w:rPr>
              <w:t>Project risks should be identified at any time during the project, and not just limited to a formal review meeting.</w:t>
            </w:r>
          </w:p>
          <w:p w14:paraId="3B66F697" w14:textId="77777777" w:rsidR="007A3468" w:rsidRDefault="007A3468" w:rsidP="00F77C73">
            <w:pPr>
              <w:pStyle w:val="ListParagraph"/>
              <w:numPr>
                <w:ilvl w:val="0"/>
                <w:numId w:val="10"/>
              </w:numPr>
              <w:spacing w:line="360" w:lineRule="auto"/>
              <w:jc w:val="both"/>
              <w:rPr>
                <w:rFonts w:ascii="Arial" w:hAnsi="Arial" w:cs="Arial"/>
                <w:color w:val="000000"/>
                <w:sz w:val="24"/>
                <w:szCs w:val="24"/>
              </w:rPr>
            </w:pPr>
            <w:r>
              <w:rPr>
                <w:rFonts w:ascii="Arial" w:hAnsi="Arial" w:cs="Arial"/>
                <w:color w:val="000000"/>
                <w:sz w:val="24"/>
                <w:szCs w:val="24"/>
              </w:rPr>
              <w:t>Comprehensive (or Detailed) Identification;</w:t>
            </w:r>
          </w:p>
          <w:p w14:paraId="780EC3DD" w14:textId="77777777" w:rsidR="007A3468" w:rsidRDefault="007A3468" w:rsidP="00F77C73">
            <w:pPr>
              <w:pStyle w:val="ListParagraph"/>
              <w:numPr>
                <w:ilvl w:val="0"/>
                <w:numId w:val="11"/>
              </w:numPr>
              <w:spacing w:line="360" w:lineRule="auto"/>
              <w:jc w:val="both"/>
              <w:rPr>
                <w:rFonts w:ascii="Arial" w:hAnsi="Arial" w:cs="Arial"/>
                <w:color w:val="000000"/>
                <w:sz w:val="24"/>
                <w:szCs w:val="24"/>
              </w:rPr>
            </w:pPr>
            <w:r>
              <w:rPr>
                <w:rFonts w:ascii="Arial" w:hAnsi="Arial" w:cs="Arial"/>
                <w:color w:val="000000"/>
                <w:sz w:val="24"/>
                <w:szCs w:val="24"/>
              </w:rPr>
              <w:t>A broad range of sources of risk should be considered to ensure that as many uncertainties as possible that might affect objectives have been identified.</w:t>
            </w:r>
          </w:p>
          <w:p w14:paraId="697CDA49" w14:textId="77777777" w:rsidR="007A3468" w:rsidRDefault="007A3468" w:rsidP="00F77C73">
            <w:pPr>
              <w:pStyle w:val="ListParagraph"/>
              <w:numPr>
                <w:ilvl w:val="0"/>
                <w:numId w:val="10"/>
              </w:numPr>
              <w:spacing w:line="360" w:lineRule="auto"/>
              <w:jc w:val="both"/>
              <w:rPr>
                <w:rFonts w:ascii="Arial" w:hAnsi="Arial" w:cs="Arial"/>
                <w:color w:val="000000"/>
                <w:sz w:val="24"/>
                <w:szCs w:val="24"/>
              </w:rPr>
            </w:pPr>
            <w:r>
              <w:rPr>
                <w:rFonts w:ascii="Arial" w:hAnsi="Arial" w:cs="Arial"/>
                <w:color w:val="000000"/>
                <w:sz w:val="24"/>
                <w:szCs w:val="24"/>
              </w:rPr>
              <w:t>Identification of Opportunities;</w:t>
            </w:r>
          </w:p>
          <w:p w14:paraId="75CF1D06" w14:textId="77777777" w:rsidR="007A3468" w:rsidRDefault="007A3468" w:rsidP="00F77C73">
            <w:pPr>
              <w:pStyle w:val="ListParagraph"/>
              <w:numPr>
                <w:ilvl w:val="0"/>
                <w:numId w:val="11"/>
              </w:numPr>
              <w:spacing w:line="360" w:lineRule="auto"/>
              <w:jc w:val="both"/>
              <w:rPr>
                <w:rFonts w:ascii="Arial" w:hAnsi="Arial" w:cs="Arial"/>
                <w:color w:val="000000"/>
                <w:sz w:val="24"/>
                <w:szCs w:val="24"/>
              </w:rPr>
            </w:pPr>
            <w:r>
              <w:rPr>
                <w:rFonts w:ascii="Arial" w:hAnsi="Arial" w:cs="Arial"/>
                <w:color w:val="000000"/>
                <w:sz w:val="24"/>
                <w:szCs w:val="24"/>
              </w:rPr>
              <w:t>During the risk identification process, all possible opportunities must be considered.</w:t>
            </w:r>
          </w:p>
          <w:p w14:paraId="25996EB6" w14:textId="77777777" w:rsidR="007A3468" w:rsidRDefault="007A3468" w:rsidP="00F77C73">
            <w:pPr>
              <w:pStyle w:val="ListParagraph"/>
              <w:numPr>
                <w:ilvl w:val="0"/>
                <w:numId w:val="10"/>
              </w:numPr>
              <w:spacing w:line="360" w:lineRule="auto"/>
              <w:jc w:val="both"/>
              <w:rPr>
                <w:rFonts w:ascii="Arial" w:hAnsi="Arial" w:cs="Arial"/>
                <w:color w:val="000000"/>
                <w:sz w:val="24"/>
                <w:szCs w:val="24"/>
              </w:rPr>
            </w:pPr>
            <w:r>
              <w:rPr>
                <w:rFonts w:ascii="Arial" w:hAnsi="Arial" w:cs="Arial"/>
                <w:color w:val="000000"/>
                <w:sz w:val="24"/>
                <w:szCs w:val="24"/>
              </w:rPr>
              <w:t>Multiple Perspectives;</w:t>
            </w:r>
          </w:p>
          <w:p w14:paraId="0A38F597" w14:textId="77777777" w:rsidR="007A3468" w:rsidRDefault="007A3468" w:rsidP="00F77C73">
            <w:pPr>
              <w:pStyle w:val="ListParagraph"/>
              <w:numPr>
                <w:ilvl w:val="0"/>
                <w:numId w:val="11"/>
              </w:numPr>
              <w:spacing w:line="360" w:lineRule="auto"/>
              <w:jc w:val="both"/>
              <w:rPr>
                <w:rFonts w:ascii="Arial" w:hAnsi="Arial" w:cs="Arial"/>
                <w:color w:val="000000"/>
                <w:sz w:val="24"/>
                <w:szCs w:val="24"/>
              </w:rPr>
            </w:pPr>
            <w:r>
              <w:rPr>
                <w:rFonts w:ascii="Arial" w:hAnsi="Arial" w:cs="Arial"/>
                <w:color w:val="000000"/>
                <w:sz w:val="24"/>
                <w:szCs w:val="24"/>
              </w:rPr>
              <w:t>During the risk identification process, a broad range of inputs from project stakeholders should be considered.  Limited risks being identified is unlikely to expose all knowable risks.</w:t>
            </w:r>
          </w:p>
          <w:p w14:paraId="4632618B" w14:textId="77777777" w:rsidR="007A3468" w:rsidRDefault="007A3468" w:rsidP="00F77C73">
            <w:pPr>
              <w:pStyle w:val="ListParagraph"/>
              <w:numPr>
                <w:ilvl w:val="0"/>
                <w:numId w:val="10"/>
              </w:numPr>
              <w:spacing w:line="360" w:lineRule="auto"/>
              <w:jc w:val="both"/>
              <w:rPr>
                <w:rFonts w:ascii="Arial" w:hAnsi="Arial" w:cs="Arial"/>
                <w:color w:val="000000"/>
                <w:sz w:val="24"/>
                <w:szCs w:val="24"/>
              </w:rPr>
            </w:pPr>
            <w:r>
              <w:rPr>
                <w:rFonts w:ascii="Arial" w:hAnsi="Arial" w:cs="Arial"/>
                <w:color w:val="000000"/>
                <w:sz w:val="24"/>
                <w:szCs w:val="24"/>
              </w:rPr>
              <w:t>Risks linked to Project Objectives;</w:t>
            </w:r>
          </w:p>
          <w:p w14:paraId="15D4FA79" w14:textId="77777777" w:rsidR="007A3468" w:rsidRDefault="007A3468" w:rsidP="00F77C73">
            <w:pPr>
              <w:pStyle w:val="ListParagraph"/>
              <w:numPr>
                <w:ilvl w:val="0"/>
                <w:numId w:val="11"/>
              </w:numPr>
              <w:spacing w:line="360" w:lineRule="auto"/>
              <w:jc w:val="both"/>
              <w:rPr>
                <w:rFonts w:ascii="Arial" w:hAnsi="Arial" w:cs="Arial"/>
                <w:color w:val="000000"/>
                <w:sz w:val="24"/>
                <w:szCs w:val="24"/>
              </w:rPr>
            </w:pPr>
            <w:r>
              <w:rPr>
                <w:rFonts w:ascii="Arial" w:hAnsi="Arial" w:cs="Arial"/>
                <w:color w:val="000000"/>
                <w:sz w:val="24"/>
                <w:szCs w:val="24"/>
              </w:rPr>
              <w:t>Each project risk should at least be linked to one project objective, for example time, cost, quality and scope.</w:t>
            </w:r>
          </w:p>
          <w:p w14:paraId="354A4D3D" w14:textId="56DF3CAF" w:rsidR="007A3468" w:rsidRPr="007A3468" w:rsidRDefault="007A3468" w:rsidP="00F77C73">
            <w:pPr>
              <w:pStyle w:val="ListParagraph"/>
              <w:numPr>
                <w:ilvl w:val="0"/>
                <w:numId w:val="10"/>
              </w:numPr>
              <w:rPr>
                <w:rFonts w:ascii="Arial" w:hAnsi="Arial" w:cs="Arial"/>
                <w:color w:val="000000"/>
                <w:sz w:val="24"/>
                <w:szCs w:val="24"/>
              </w:rPr>
            </w:pPr>
            <w:r w:rsidRPr="007A3468">
              <w:rPr>
                <w:rFonts w:ascii="Arial" w:hAnsi="Arial" w:cs="Arial"/>
                <w:color w:val="000000"/>
                <w:sz w:val="24"/>
                <w:szCs w:val="24"/>
              </w:rPr>
              <w:br w:type="page"/>
              <w:t>Complete Risk Statement;</w:t>
            </w:r>
          </w:p>
          <w:p w14:paraId="7E81FA98" w14:textId="77FEC7B6" w:rsidR="007A3468" w:rsidRDefault="007A3468" w:rsidP="00F77C73">
            <w:pPr>
              <w:pStyle w:val="ListParagraph"/>
              <w:numPr>
                <w:ilvl w:val="0"/>
                <w:numId w:val="11"/>
              </w:numPr>
              <w:spacing w:line="360" w:lineRule="auto"/>
              <w:jc w:val="both"/>
              <w:rPr>
                <w:rFonts w:ascii="Arial" w:hAnsi="Arial" w:cs="Arial"/>
                <w:color w:val="000000"/>
                <w:sz w:val="24"/>
                <w:szCs w:val="24"/>
              </w:rPr>
            </w:pPr>
            <w:r>
              <w:rPr>
                <w:rFonts w:ascii="Arial" w:hAnsi="Arial" w:cs="Arial"/>
                <w:color w:val="000000"/>
                <w:sz w:val="24"/>
                <w:szCs w:val="24"/>
              </w:rPr>
              <w:t>Identified risks should be clearly explained and described, so that they can be understood by those responsible to manage that risk.</w:t>
            </w:r>
          </w:p>
          <w:p w14:paraId="044079A5" w14:textId="3E96EB6D" w:rsidR="007A3468" w:rsidRDefault="007A3468" w:rsidP="007A3468">
            <w:pPr>
              <w:spacing w:line="360" w:lineRule="auto"/>
              <w:jc w:val="both"/>
              <w:rPr>
                <w:rFonts w:ascii="Arial" w:hAnsi="Arial" w:cs="Arial"/>
                <w:color w:val="000000"/>
                <w:sz w:val="24"/>
                <w:szCs w:val="24"/>
              </w:rPr>
            </w:pPr>
          </w:p>
          <w:p w14:paraId="3ED29388" w14:textId="2F72A791" w:rsidR="007A3468" w:rsidRDefault="007A3468" w:rsidP="007A3468">
            <w:pPr>
              <w:spacing w:line="360" w:lineRule="auto"/>
              <w:jc w:val="both"/>
              <w:rPr>
                <w:rFonts w:ascii="Arial" w:hAnsi="Arial" w:cs="Arial"/>
                <w:color w:val="000000"/>
                <w:sz w:val="24"/>
                <w:szCs w:val="24"/>
              </w:rPr>
            </w:pPr>
          </w:p>
          <w:p w14:paraId="5C933360" w14:textId="77777777" w:rsidR="007A3468" w:rsidRPr="007A3468" w:rsidRDefault="007A3468" w:rsidP="007A3468">
            <w:pPr>
              <w:spacing w:line="360" w:lineRule="auto"/>
              <w:jc w:val="both"/>
              <w:rPr>
                <w:rFonts w:ascii="Arial" w:hAnsi="Arial" w:cs="Arial"/>
                <w:color w:val="000000"/>
                <w:sz w:val="24"/>
                <w:szCs w:val="24"/>
              </w:rPr>
            </w:pPr>
          </w:p>
          <w:p w14:paraId="5B778676" w14:textId="77777777" w:rsidR="007A3468" w:rsidRDefault="007A3468" w:rsidP="00F77C73">
            <w:pPr>
              <w:pStyle w:val="ListParagraph"/>
              <w:numPr>
                <w:ilvl w:val="0"/>
                <w:numId w:val="10"/>
              </w:numPr>
              <w:spacing w:line="360" w:lineRule="auto"/>
              <w:jc w:val="both"/>
              <w:rPr>
                <w:rFonts w:ascii="Arial" w:hAnsi="Arial" w:cs="Arial"/>
                <w:color w:val="000000"/>
                <w:sz w:val="24"/>
                <w:szCs w:val="24"/>
              </w:rPr>
            </w:pPr>
            <w:r>
              <w:rPr>
                <w:rFonts w:ascii="Arial" w:hAnsi="Arial" w:cs="Arial"/>
                <w:color w:val="000000"/>
                <w:sz w:val="24"/>
                <w:szCs w:val="24"/>
              </w:rPr>
              <w:t>Ownership and Level of Detail;</w:t>
            </w:r>
          </w:p>
          <w:p w14:paraId="136E56C7" w14:textId="77777777" w:rsidR="007A3468" w:rsidRDefault="007A3468" w:rsidP="00F77C73">
            <w:pPr>
              <w:pStyle w:val="ListParagraph"/>
              <w:numPr>
                <w:ilvl w:val="0"/>
                <w:numId w:val="11"/>
              </w:numPr>
              <w:spacing w:line="360" w:lineRule="auto"/>
              <w:jc w:val="both"/>
              <w:rPr>
                <w:rFonts w:ascii="Arial" w:hAnsi="Arial" w:cs="Arial"/>
                <w:color w:val="000000"/>
                <w:sz w:val="24"/>
                <w:szCs w:val="24"/>
              </w:rPr>
            </w:pPr>
            <w:r>
              <w:rPr>
                <w:rFonts w:ascii="Arial" w:hAnsi="Arial" w:cs="Arial"/>
                <w:color w:val="000000"/>
                <w:sz w:val="24"/>
                <w:szCs w:val="24"/>
              </w:rPr>
              <w:t xml:space="preserve">Risks can be identified at </w:t>
            </w:r>
            <w:proofErr w:type="gramStart"/>
            <w:r>
              <w:rPr>
                <w:rFonts w:ascii="Arial" w:hAnsi="Arial" w:cs="Arial"/>
                <w:color w:val="000000"/>
                <w:sz w:val="24"/>
                <w:szCs w:val="24"/>
              </w:rPr>
              <w:t>a number of</w:t>
            </w:r>
            <w:proofErr w:type="gramEnd"/>
            <w:r>
              <w:rPr>
                <w:rFonts w:ascii="Arial" w:hAnsi="Arial" w:cs="Arial"/>
                <w:color w:val="000000"/>
                <w:sz w:val="24"/>
                <w:szCs w:val="24"/>
              </w:rPr>
              <w:t xml:space="preserve"> levels of detail.  Each risk should be described at a level of detail that it’s very clear what the responsibility and accountability is for each of the risk owners.</w:t>
            </w:r>
          </w:p>
          <w:p w14:paraId="0B03D814" w14:textId="77777777" w:rsidR="007A3468" w:rsidRDefault="007A3468" w:rsidP="00F77C73">
            <w:pPr>
              <w:pStyle w:val="ListParagraph"/>
              <w:numPr>
                <w:ilvl w:val="0"/>
                <w:numId w:val="10"/>
              </w:numPr>
              <w:spacing w:line="360" w:lineRule="auto"/>
              <w:jc w:val="both"/>
              <w:rPr>
                <w:rFonts w:ascii="Arial" w:hAnsi="Arial" w:cs="Arial"/>
                <w:color w:val="000000"/>
                <w:sz w:val="24"/>
                <w:szCs w:val="24"/>
              </w:rPr>
            </w:pPr>
            <w:r>
              <w:rPr>
                <w:rFonts w:ascii="Arial" w:hAnsi="Arial" w:cs="Arial"/>
                <w:color w:val="000000"/>
                <w:sz w:val="24"/>
                <w:szCs w:val="24"/>
              </w:rPr>
              <w:t>Objectivity;</w:t>
            </w:r>
          </w:p>
          <w:p w14:paraId="2D852B31" w14:textId="77777777" w:rsidR="007A3468" w:rsidRDefault="007A3468" w:rsidP="00F77C73">
            <w:pPr>
              <w:pStyle w:val="ListParagraph"/>
              <w:numPr>
                <w:ilvl w:val="0"/>
                <w:numId w:val="11"/>
              </w:numPr>
              <w:spacing w:line="360" w:lineRule="auto"/>
              <w:jc w:val="both"/>
              <w:rPr>
                <w:rFonts w:ascii="Arial" w:hAnsi="Arial" w:cs="Arial"/>
                <w:color w:val="000000"/>
                <w:sz w:val="24"/>
                <w:szCs w:val="24"/>
              </w:rPr>
            </w:pPr>
            <w:r>
              <w:rPr>
                <w:rFonts w:ascii="Arial" w:hAnsi="Arial" w:cs="Arial"/>
                <w:color w:val="000000"/>
                <w:sz w:val="24"/>
                <w:szCs w:val="24"/>
              </w:rPr>
              <w:t>All human activities are susceptible to bias, especially when dealing with uncertainty. This should be recognized and addressed during the risk identification process, as well as their effect on the risk process should be managed proactively.</w:t>
            </w:r>
          </w:p>
          <w:p w14:paraId="68D6CBEB" w14:textId="77777777" w:rsidR="007A3468" w:rsidRDefault="007A3468" w:rsidP="007A3468">
            <w:pPr>
              <w:spacing w:line="360" w:lineRule="auto"/>
              <w:jc w:val="both"/>
              <w:rPr>
                <w:rFonts w:ascii="Arial" w:hAnsi="Arial" w:cs="Arial"/>
                <w:color w:val="000000"/>
                <w:sz w:val="24"/>
                <w:szCs w:val="24"/>
              </w:rPr>
            </w:pPr>
          </w:p>
          <w:p w14:paraId="1359DD67" w14:textId="6A42DD3A" w:rsidR="007A3468" w:rsidRDefault="007A3468" w:rsidP="007A3468">
            <w:pPr>
              <w:pStyle w:val="ListParagraph"/>
              <w:spacing w:line="360" w:lineRule="auto"/>
              <w:jc w:val="both"/>
              <w:rPr>
                <w:rFonts w:ascii="Arial" w:hAnsi="Arial" w:cs="Arial"/>
                <w:color w:val="000000"/>
                <w:sz w:val="24"/>
                <w:szCs w:val="24"/>
              </w:rPr>
            </w:pPr>
            <w:r>
              <w:rPr>
                <w:rFonts w:ascii="Arial" w:hAnsi="Arial" w:cs="Arial"/>
                <w:color w:val="000000"/>
                <w:sz w:val="24"/>
                <w:szCs w:val="24"/>
              </w:rPr>
              <w:t xml:space="preserve">After the project risks have been identified, they should be categorized.  Risk categories help rank, </w:t>
            </w:r>
            <w:r>
              <w:rPr>
                <w:rFonts w:ascii="Arial" w:hAnsi="Arial" w:cs="Arial"/>
                <w:color w:val="000000"/>
                <w:sz w:val="24"/>
                <w:szCs w:val="24"/>
              </w:rPr>
              <w:t>organize</w:t>
            </w:r>
            <w:r>
              <w:rPr>
                <w:rFonts w:ascii="Arial" w:hAnsi="Arial" w:cs="Arial"/>
                <w:color w:val="000000"/>
                <w:sz w:val="24"/>
                <w:szCs w:val="24"/>
              </w:rPr>
              <w:t>, and isolate risks within the project.  The four most commonly used categories are:</w:t>
            </w:r>
          </w:p>
          <w:p w14:paraId="798F6286" w14:textId="77777777" w:rsidR="007A3468" w:rsidRDefault="007A3468" w:rsidP="00F77C73">
            <w:pPr>
              <w:pStyle w:val="ListParagraph"/>
              <w:numPr>
                <w:ilvl w:val="0"/>
                <w:numId w:val="10"/>
              </w:numPr>
              <w:spacing w:line="360" w:lineRule="auto"/>
              <w:jc w:val="both"/>
              <w:rPr>
                <w:rFonts w:ascii="Arial" w:hAnsi="Arial" w:cs="Arial"/>
                <w:color w:val="000000"/>
                <w:sz w:val="24"/>
                <w:szCs w:val="24"/>
              </w:rPr>
            </w:pPr>
            <w:r>
              <w:rPr>
                <w:rFonts w:ascii="Arial" w:hAnsi="Arial" w:cs="Arial"/>
                <w:color w:val="000000"/>
                <w:sz w:val="24"/>
                <w:szCs w:val="24"/>
              </w:rPr>
              <w:t>Project management risks;</w:t>
            </w:r>
          </w:p>
          <w:p w14:paraId="0CC3B208" w14:textId="77777777" w:rsidR="007A3468" w:rsidRDefault="007A3468" w:rsidP="00F77C73">
            <w:pPr>
              <w:pStyle w:val="ListParagraph"/>
              <w:numPr>
                <w:ilvl w:val="0"/>
                <w:numId w:val="10"/>
              </w:numPr>
              <w:spacing w:line="360" w:lineRule="auto"/>
              <w:jc w:val="both"/>
              <w:rPr>
                <w:rFonts w:ascii="Arial" w:hAnsi="Arial" w:cs="Arial"/>
                <w:color w:val="000000"/>
                <w:sz w:val="24"/>
                <w:szCs w:val="24"/>
              </w:rPr>
            </w:pPr>
            <w:r>
              <w:rPr>
                <w:rFonts w:ascii="Arial" w:hAnsi="Arial" w:cs="Arial"/>
                <w:color w:val="000000"/>
                <w:sz w:val="24"/>
                <w:szCs w:val="24"/>
              </w:rPr>
              <w:t>Organizational risks;</w:t>
            </w:r>
          </w:p>
          <w:p w14:paraId="4A91A06B" w14:textId="77777777" w:rsidR="007A3468" w:rsidRDefault="007A3468" w:rsidP="00F77C73">
            <w:pPr>
              <w:pStyle w:val="ListParagraph"/>
              <w:numPr>
                <w:ilvl w:val="0"/>
                <w:numId w:val="10"/>
              </w:numPr>
              <w:spacing w:line="360" w:lineRule="auto"/>
              <w:jc w:val="both"/>
              <w:rPr>
                <w:rFonts w:ascii="Arial" w:hAnsi="Arial" w:cs="Arial"/>
                <w:color w:val="000000"/>
                <w:sz w:val="24"/>
                <w:szCs w:val="24"/>
              </w:rPr>
            </w:pPr>
            <w:r>
              <w:rPr>
                <w:rFonts w:ascii="Arial" w:hAnsi="Arial" w:cs="Arial"/>
                <w:color w:val="000000"/>
                <w:sz w:val="24"/>
                <w:szCs w:val="24"/>
              </w:rPr>
              <w:t>Technical and quality risks;</w:t>
            </w:r>
          </w:p>
          <w:p w14:paraId="4FC3F599" w14:textId="77777777" w:rsidR="007A3468" w:rsidRDefault="007A3468" w:rsidP="00F77C73">
            <w:pPr>
              <w:pStyle w:val="ListParagraph"/>
              <w:numPr>
                <w:ilvl w:val="0"/>
                <w:numId w:val="10"/>
              </w:numPr>
              <w:spacing w:line="360" w:lineRule="auto"/>
              <w:jc w:val="both"/>
              <w:rPr>
                <w:rFonts w:ascii="Arial" w:hAnsi="Arial" w:cs="Arial"/>
                <w:color w:val="000000"/>
                <w:sz w:val="24"/>
                <w:szCs w:val="24"/>
              </w:rPr>
            </w:pPr>
            <w:r>
              <w:rPr>
                <w:rFonts w:ascii="Arial" w:hAnsi="Arial" w:cs="Arial"/>
                <w:color w:val="000000"/>
                <w:sz w:val="24"/>
                <w:szCs w:val="24"/>
              </w:rPr>
              <w:t>External risks.</w:t>
            </w:r>
          </w:p>
          <w:p w14:paraId="2BB1C86C" w14:textId="77777777" w:rsidR="007A3468" w:rsidRDefault="007A3468" w:rsidP="007A3468">
            <w:pPr>
              <w:spacing w:line="360" w:lineRule="auto"/>
              <w:jc w:val="both"/>
              <w:rPr>
                <w:rFonts w:ascii="Arial" w:hAnsi="Arial" w:cs="Arial"/>
                <w:color w:val="000000"/>
                <w:sz w:val="24"/>
                <w:szCs w:val="24"/>
              </w:rPr>
            </w:pPr>
          </w:p>
          <w:p w14:paraId="78382EC8" w14:textId="222DD855" w:rsidR="00581BEB" w:rsidRPr="007A3468" w:rsidRDefault="007A3468" w:rsidP="007A3468">
            <w:pPr>
              <w:spacing w:line="360" w:lineRule="auto"/>
              <w:ind w:left="720"/>
              <w:jc w:val="both"/>
              <w:rPr>
                <w:rFonts w:ascii="Arial" w:hAnsi="Arial" w:cs="Arial"/>
                <w:color w:val="000000"/>
                <w:sz w:val="24"/>
                <w:szCs w:val="24"/>
              </w:rPr>
            </w:pPr>
            <w:r>
              <w:rPr>
                <w:rFonts w:ascii="Arial" w:hAnsi="Arial" w:cs="Arial"/>
                <w:color w:val="000000"/>
                <w:sz w:val="24"/>
                <w:szCs w:val="24"/>
              </w:rPr>
              <w:t>A note to remember is that, historical information is always an excellent source of information for risk identification, however all options and available information should be explored and considered.</w:t>
            </w:r>
          </w:p>
        </w:tc>
      </w:tr>
    </w:tbl>
    <w:p w14:paraId="6F0CA5E3" w14:textId="77777777" w:rsidR="006E1325" w:rsidRPr="00B0415E" w:rsidRDefault="006E1325" w:rsidP="00A851DA">
      <w:pPr>
        <w:autoSpaceDE w:val="0"/>
        <w:autoSpaceDN w:val="0"/>
        <w:adjustRightInd w:val="0"/>
        <w:spacing w:after="0" w:line="240" w:lineRule="auto"/>
        <w:rPr>
          <w:rFonts w:cs="CalvertMT-Bold"/>
          <w:b/>
          <w:bCs/>
          <w:color w:val="002060"/>
          <w:sz w:val="28"/>
          <w:lang w:val="en-US"/>
        </w:rPr>
      </w:pPr>
    </w:p>
    <w:p w14:paraId="0233B0D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13407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19D808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257D33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CE70CF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4"/>
        <w:gridCol w:w="1251"/>
        <w:gridCol w:w="1589"/>
      </w:tblGrid>
      <w:tr w:rsidR="00405895" w:rsidRPr="00B0415E" w14:paraId="22DD03BA" w14:textId="77777777" w:rsidTr="00405895">
        <w:tc>
          <w:tcPr>
            <w:tcW w:w="2310" w:type="dxa"/>
            <w:shd w:val="clear" w:color="auto" w:fill="D9D9D9" w:themeFill="background1" w:themeFillShade="D9"/>
          </w:tcPr>
          <w:p w14:paraId="26E8D7D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DAE105A" w14:textId="6A8E7138" w:rsidR="00405895" w:rsidRPr="00B0415E" w:rsidRDefault="00E86D3E" w:rsidP="00A851DA">
            <w:pPr>
              <w:rPr>
                <w:rFonts w:cs="Bliss-Regular"/>
                <w:color w:val="000000"/>
              </w:rPr>
            </w:pPr>
            <w:r>
              <w:rPr>
                <w:rFonts w:cs="Bliss-Regular"/>
                <w:color w:val="000000"/>
              </w:rPr>
              <w:t>Herman Louw</w:t>
            </w:r>
          </w:p>
        </w:tc>
        <w:tc>
          <w:tcPr>
            <w:tcW w:w="1276" w:type="dxa"/>
            <w:shd w:val="clear" w:color="auto" w:fill="D9D9D9" w:themeFill="background1" w:themeFillShade="D9"/>
          </w:tcPr>
          <w:p w14:paraId="29B6291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C52E30B" w14:textId="7D59B151" w:rsidR="00405895" w:rsidRPr="00B0415E" w:rsidRDefault="007A3468" w:rsidP="00A851DA">
            <w:pPr>
              <w:rPr>
                <w:rFonts w:cs="Bliss-Regular"/>
                <w:color w:val="000000"/>
              </w:rPr>
            </w:pPr>
            <w:r>
              <w:rPr>
                <w:rFonts w:cs="Bliss-Regular"/>
                <w:color w:val="000000"/>
              </w:rPr>
              <w:t>20 March 2019</w:t>
            </w:r>
          </w:p>
        </w:tc>
      </w:tr>
    </w:tbl>
    <w:p w14:paraId="46877E17" w14:textId="77777777" w:rsidR="00A851DA" w:rsidRPr="00B0415E" w:rsidRDefault="00A851DA" w:rsidP="00A851DA">
      <w:pPr>
        <w:rPr>
          <w:rFonts w:cs="Bliss-Regular"/>
          <w:color w:val="000000"/>
          <w:lang w:val="en-US"/>
        </w:rPr>
      </w:pPr>
    </w:p>
    <w:p w14:paraId="56FD20A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3141DB7" w14:textId="77777777" w:rsidTr="00B0415E">
        <w:trPr>
          <w:trHeight w:val="249"/>
        </w:trPr>
        <w:tc>
          <w:tcPr>
            <w:tcW w:w="4621" w:type="dxa"/>
            <w:shd w:val="clear" w:color="auto" w:fill="D9D9D9" w:themeFill="background1" w:themeFillShade="D9"/>
          </w:tcPr>
          <w:p w14:paraId="47DAA0E0" w14:textId="77777777" w:rsidR="00503D7E" w:rsidRPr="00B0415E" w:rsidRDefault="00503D7E" w:rsidP="00503D7E">
            <w:pPr>
              <w:rPr>
                <w:b/>
                <w:color w:val="002060"/>
              </w:rPr>
            </w:pPr>
            <w:r w:rsidRPr="00B0415E">
              <w:rPr>
                <w:b/>
                <w:color w:val="002060"/>
              </w:rPr>
              <w:t>Total Marks</w:t>
            </w:r>
          </w:p>
        </w:tc>
        <w:tc>
          <w:tcPr>
            <w:tcW w:w="4621" w:type="dxa"/>
          </w:tcPr>
          <w:p w14:paraId="295A9508" w14:textId="77777777" w:rsidR="00503D7E" w:rsidRPr="00B0415E" w:rsidRDefault="00503D7E" w:rsidP="00503D7E">
            <w:pPr>
              <w:rPr>
                <w:rFonts w:cs="Times New Roman"/>
                <w:szCs w:val="32"/>
              </w:rPr>
            </w:pPr>
          </w:p>
        </w:tc>
      </w:tr>
      <w:tr w:rsidR="00503D7E" w:rsidRPr="00B0415E" w14:paraId="5FF14CF0" w14:textId="77777777" w:rsidTr="00B0415E">
        <w:tc>
          <w:tcPr>
            <w:tcW w:w="4621" w:type="dxa"/>
            <w:shd w:val="clear" w:color="auto" w:fill="D9D9D9" w:themeFill="background1" w:themeFillShade="D9"/>
          </w:tcPr>
          <w:p w14:paraId="05C4A5BD" w14:textId="77777777" w:rsidR="00503D7E" w:rsidRPr="00B0415E" w:rsidRDefault="00503D7E" w:rsidP="00503D7E">
            <w:pPr>
              <w:rPr>
                <w:b/>
                <w:color w:val="002060"/>
              </w:rPr>
            </w:pPr>
            <w:r w:rsidRPr="00B0415E">
              <w:rPr>
                <w:b/>
                <w:color w:val="002060"/>
              </w:rPr>
              <w:t>Marks Obtained</w:t>
            </w:r>
          </w:p>
        </w:tc>
        <w:tc>
          <w:tcPr>
            <w:tcW w:w="4621" w:type="dxa"/>
          </w:tcPr>
          <w:p w14:paraId="6416F63C" w14:textId="77777777" w:rsidR="00503D7E" w:rsidRPr="00B0415E" w:rsidRDefault="00503D7E" w:rsidP="00503D7E">
            <w:pPr>
              <w:rPr>
                <w:rFonts w:cs="Times New Roman"/>
                <w:szCs w:val="32"/>
              </w:rPr>
            </w:pPr>
          </w:p>
        </w:tc>
      </w:tr>
      <w:tr w:rsidR="00503D7E" w:rsidRPr="00B0415E" w14:paraId="02D90ED9" w14:textId="77777777" w:rsidTr="00B0415E">
        <w:tc>
          <w:tcPr>
            <w:tcW w:w="4621" w:type="dxa"/>
            <w:shd w:val="clear" w:color="auto" w:fill="D9D9D9" w:themeFill="background1" w:themeFillShade="D9"/>
          </w:tcPr>
          <w:p w14:paraId="472177AB" w14:textId="77777777" w:rsidR="00503D7E" w:rsidRPr="00B0415E" w:rsidRDefault="00B0415E" w:rsidP="00503D7E">
            <w:pPr>
              <w:rPr>
                <w:b/>
                <w:color w:val="002060"/>
              </w:rPr>
            </w:pPr>
            <w:r w:rsidRPr="00B0415E">
              <w:rPr>
                <w:b/>
                <w:color w:val="002060"/>
              </w:rPr>
              <w:t>Percentage / Grade</w:t>
            </w:r>
          </w:p>
        </w:tc>
        <w:tc>
          <w:tcPr>
            <w:tcW w:w="4621" w:type="dxa"/>
          </w:tcPr>
          <w:p w14:paraId="69F8A4D9" w14:textId="77777777" w:rsidR="00503D7E" w:rsidRPr="00B0415E" w:rsidRDefault="00503D7E" w:rsidP="00503D7E">
            <w:pPr>
              <w:rPr>
                <w:rFonts w:cs="Times New Roman"/>
                <w:szCs w:val="32"/>
              </w:rPr>
            </w:pPr>
          </w:p>
        </w:tc>
      </w:tr>
    </w:tbl>
    <w:p w14:paraId="5C1B5187" w14:textId="77777777"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206869" w14:textId="77777777" w:rsidR="00F77C73" w:rsidRDefault="00F77C73" w:rsidP="00CB4D0A">
      <w:pPr>
        <w:spacing w:after="0" w:line="240" w:lineRule="auto"/>
      </w:pPr>
      <w:r>
        <w:separator/>
      </w:r>
    </w:p>
  </w:endnote>
  <w:endnote w:type="continuationSeparator" w:id="0">
    <w:p w14:paraId="3750CE2F" w14:textId="77777777" w:rsidR="00F77C73" w:rsidRDefault="00F77C7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720257" w14:textId="77777777" w:rsidR="00F77C73" w:rsidRDefault="00F77C73" w:rsidP="00CB4D0A">
      <w:pPr>
        <w:spacing w:after="0" w:line="240" w:lineRule="auto"/>
      </w:pPr>
      <w:r>
        <w:separator/>
      </w:r>
    </w:p>
  </w:footnote>
  <w:footnote w:type="continuationSeparator" w:id="0">
    <w:p w14:paraId="20A63B9D" w14:textId="77777777" w:rsidR="00F77C73" w:rsidRDefault="00F77C7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B7CD8"/>
    <w:multiLevelType w:val="hybridMultilevel"/>
    <w:tmpl w:val="09F0BBD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19F21EB0"/>
    <w:multiLevelType w:val="hybridMultilevel"/>
    <w:tmpl w:val="3A7E5EB2"/>
    <w:lvl w:ilvl="0" w:tplc="0809000F">
      <w:start w:val="1"/>
      <w:numFmt w:val="decimal"/>
      <w:lvlText w:val="%1."/>
      <w:lvlJc w:val="left"/>
      <w:pPr>
        <w:ind w:left="720" w:hanging="360"/>
      </w:pPr>
      <w:rPr>
        <w:rFonts w:hint="default"/>
      </w:rPr>
    </w:lvl>
    <w:lvl w:ilvl="1" w:tplc="0809001B">
      <w:start w:val="1"/>
      <w:numFmt w:val="lowerRoman"/>
      <w:lvlText w:val="%2."/>
      <w:lvlJc w:val="right"/>
      <w:pPr>
        <w:ind w:left="1440" w:hanging="360"/>
      </w:pPr>
      <w:rPr>
        <w:rFonts w:hint="default"/>
      </w:r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414F51"/>
    <w:multiLevelType w:val="hybridMultilevel"/>
    <w:tmpl w:val="4C70D136"/>
    <w:lvl w:ilvl="0" w:tplc="08090001">
      <w:start w:val="1"/>
      <w:numFmt w:val="bullet"/>
      <w:lvlText w:val=""/>
      <w:lvlJc w:val="left"/>
      <w:pPr>
        <w:ind w:left="2155" w:hanging="360"/>
      </w:pPr>
      <w:rPr>
        <w:rFonts w:ascii="Symbol" w:hAnsi="Symbol" w:hint="default"/>
      </w:rPr>
    </w:lvl>
    <w:lvl w:ilvl="1" w:tplc="08090003" w:tentative="1">
      <w:start w:val="1"/>
      <w:numFmt w:val="bullet"/>
      <w:lvlText w:val="o"/>
      <w:lvlJc w:val="left"/>
      <w:pPr>
        <w:ind w:left="2875" w:hanging="360"/>
      </w:pPr>
      <w:rPr>
        <w:rFonts w:ascii="Courier New" w:hAnsi="Courier New" w:cs="Courier New" w:hint="default"/>
      </w:rPr>
    </w:lvl>
    <w:lvl w:ilvl="2" w:tplc="08090005" w:tentative="1">
      <w:start w:val="1"/>
      <w:numFmt w:val="bullet"/>
      <w:lvlText w:val=""/>
      <w:lvlJc w:val="left"/>
      <w:pPr>
        <w:ind w:left="3595" w:hanging="360"/>
      </w:pPr>
      <w:rPr>
        <w:rFonts w:ascii="Wingdings" w:hAnsi="Wingdings" w:hint="default"/>
      </w:rPr>
    </w:lvl>
    <w:lvl w:ilvl="3" w:tplc="08090001" w:tentative="1">
      <w:start w:val="1"/>
      <w:numFmt w:val="bullet"/>
      <w:lvlText w:val=""/>
      <w:lvlJc w:val="left"/>
      <w:pPr>
        <w:ind w:left="4315" w:hanging="360"/>
      </w:pPr>
      <w:rPr>
        <w:rFonts w:ascii="Symbol" w:hAnsi="Symbol" w:hint="default"/>
      </w:rPr>
    </w:lvl>
    <w:lvl w:ilvl="4" w:tplc="08090003" w:tentative="1">
      <w:start w:val="1"/>
      <w:numFmt w:val="bullet"/>
      <w:lvlText w:val="o"/>
      <w:lvlJc w:val="left"/>
      <w:pPr>
        <w:ind w:left="5035" w:hanging="360"/>
      </w:pPr>
      <w:rPr>
        <w:rFonts w:ascii="Courier New" w:hAnsi="Courier New" w:cs="Courier New" w:hint="default"/>
      </w:rPr>
    </w:lvl>
    <w:lvl w:ilvl="5" w:tplc="08090005" w:tentative="1">
      <w:start w:val="1"/>
      <w:numFmt w:val="bullet"/>
      <w:lvlText w:val=""/>
      <w:lvlJc w:val="left"/>
      <w:pPr>
        <w:ind w:left="5755" w:hanging="360"/>
      </w:pPr>
      <w:rPr>
        <w:rFonts w:ascii="Wingdings" w:hAnsi="Wingdings" w:hint="default"/>
      </w:rPr>
    </w:lvl>
    <w:lvl w:ilvl="6" w:tplc="08090001" w:tentative="1">
      <w:start w:val="1"/>
      <w:numFmt w:val="bullet"/>
      <w:lvlText w:val=""/>
      <w:lvlJc w:val="left"/>
      <w:pPr>
        <w:ind w:left="6475" w:hanging="360"/>
      </w:pPr>
      <w:rPr>
        <w:rFonts w:ascii="Symbol" w:hAnsi="Symbol" w:hint="default"/>
      </w:rPr>
    </w:lvl>
    <w:lvl w:ilvl="7" w:tplc="08090003" w:tentative="1">
      <w:start w:val="1"/>
      <w:numFmt w:val="bullet"/>
      <w:lvlText w:val="o"/>
      <w:lvlJc w:val="left"/>
      <w:pPr>
        <w:ind w:left="7195" w:hanging="360"/>
      </w:pPr>
      <w:rPr>
        <w:rFonts w:ascii="Courier New" w:hAnsi="Courier New" w:cs="Courier New" w:hint="default"/>
      </w:rPr>
    </w:lvl>
    <w:lvl w:ilvl="8" w:tplc="08090005" w:tentative="1">
      <w:start w:val="1"/>
      <w:numFmt w:val="bullet"/>
      <w:lvlText w:val=""/>
      <w:lvlJc w:val="left"/>
      <w:pPr>
        <w:ind w:left="7915" w:hanging="360"/>
      </w:pPr>
      <w:rPr>
        <w:rFonts w:ascii="Wingdings" w:hAnsi="Wingdings" w:hint="default"/>
      </w:rPr>
    </w:lvl>
  </w:abstractNum>
  <w:abstractNum w:abstractNumId="3" w15:restartNumberingAfterBreak="0">
    <w:nsid w:val="2D7C2BE3"/>
    <w:multiLevelType w:val="hybridMultilevel"/>
    <w:tmpl w:val="B9FED3C2"/>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370F7933"/>
    <w:multiLevelType w:val="hybridMultilevel"/>
    <w:tmpl w:val="DD58F6BA"/>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5" w15:restartNumberingAfterBreak="0">
    <w:nsid w:val="3B9E4B2D"/>
    <w:multiLevelType w:val="hybridMultilevel"/>
    <w:tmpl w:val="8C3C42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39912BE"/>
    <w:multiLevelType w:val="hybridMultilevel"/>
    <w:tmpl w:val="3A1490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5223D20"/>
    <w:multiLevelType w:val="hybridMultilevel"/>
    <w:tmpl w:val="54E2DDD0"/>
    <w:lvl w:ilvl="0" w:tplc="08090001">
      <w:start w:val="1"/>
      <w:numFmt w:val="bullet"/>
      <w:lvlText w:val=""/>
      <w:lvlJc w:val="left"/>
      <w:pPr>
        <w:ind w:left="2155" w:hanging="360"/>
      </w:pPr>
      <w:rPr>
        <w:rFonts w:ascii="Symbol" w:hAnsi="Symbol" w:hint="default"/>
      </w:rPr>
    </w:lvl>
    <w:lvl w:ilvl="1" w:tplc="08090003" w:tentative="1">
      <w:start w:val="1"/>
      <w:numFmt w:val="bullet"/>
      <w:lvlText w:val="o"/>
      <w:lvlJc w:val="left"/>
      <w:pPr>
        <w:ind w:left="2875" w:hanging="360"/>
      </w:pPr>
      <w:rPr>
        <w:rFonts w:ascii="Courier New" w:hAnsi="Courier New" w:cs="Courier New" w:hint="default"/>
      </w:rPr>
    </w:lvl>
    <w:lvl w:ilvl="2" w:tplc="08090005" w:tentative="1">
      <w:start w:val="1"/>
      <w:numFmt w:val="bullet"/>
      <w:lvlText w:val=""/>
      <w:lvlJc w:val="left"/>
      <w:pPr>
        <w:ind w:left="3595" w:hanging="360"/>
      </w:pPr>
      <w:rPr>
        <w:rFonts w:ascii="Wingdings" w:hAnsi="Wingdings" w:hint="default"/>
      </w:rPr>
    </w:lvl>
    <w:lvl w:ilvl="3" w:tplc="08090001" w:tentative="1">
      <w:start w:val="1"/>
      <w:numFmt w:val="bullet"/>
      <w:lvlText w:val=""/>
      <w:lvlJc w:val="left"/>
      <w:pPr>
        <w:ind w:left="4315" w:hanging="360"/>
      </w:pPr>
      <w:rPr>
        <w:rFonts w:ascii="Symbol" w:hAnsi="Symbol" w:hint="default"/>
      </w:rPr>
    </w:lvl>
    <w:lvl w:ilvl="4" w:tplc="08090003" w:tentative="1">
      <w:start w:val="1"/>
      <w:numFmt w:val="bullet"/>
      <w:lvlText w:val="o"/>
      <w:lvlJc w:val="left"/>
      <w:pPr>
        <w:ind w:left="5035" w:hanging="360"/>
      </w:pPr>
      <w:rPr>
        <w:rFonts w:ascii="Courier New" w:hAnsi="Courier New" w:cs="Courier New" w:hint="default"/>
      </w:rPr>
    </w:lvl>
    <w:lvl w:ilvl="5" w:tplc="08090005" w:tentative="1">
      <w:start w:val="1"/>
      <w:numFmt w:val="bullet"/>
      <w:lvlText w:val=""/>
      <w:lvlJc w:val="left"/>
      <w:pPr>
        <w:ind w:left="5755" w:hanging="360"/>
      </w:pPr>
      <w:rPr>
        <w:rFonts w:ascii="Wingdings" w:hAnsi="Wingdings" w:hint="default"/>
      </w:rPr>
    </w:lvl>
    <w:lvl w:ilvl="6" w:tplc="08090001" w:tentative="1">
      <w:start w:val="1"/>
      <w:numFmt w:val="bullet"/>
      <w:lvlText w:val=""/>
      <w:lvlJc w:val="left"/>
      <w:pPr>
        <w:ind w:left="6475" w:hanging="360"/>
      </w:pPr>
      <w:rPr>
        <w:rFonts w:ascii="Symbol" w:hAnsi="Symbol" w:hint="default"/>
      </w:rPr>
    </w:lvl>
    <w:lvl w:ilvl="7" w:tplc="08090003" w:tentative="1">
      <w:start w:val="1"/>
      <w:numFmt w:val="bullet"/>
      <w:lvlText w:val="o"/>
      <w:lvlJc w:val="left"/>
      <w:pPr>
        <w:ind w:left="7195" w:hanging="360"/>
      </w:pPr>
      <w:rPr>
        <w:rFonts w:ascii="Courier New" w:hAnsi="Courier New" w:cs="Courier New" w:hint="default"/>
      </w:rPr>
    </w:lvl>
    <w:lvl w:ilvl="8" w:tplc="08090005" w:tentative="1">
      <w:start w:val="1"/>
      <w:numFmt w:val="bullet"/>
      <w:lvlText w:val=""/>
      <w:lvlJc w:val="left"/>
      <w:pPr>
        <w:ind w:left="7915" w:hanging="360"/>
      </w:pPr>
      <w:rPr>
        <w:rFonts w:ascii="Wingdings" w:hAnsi="Wingdings" w:hint="default"/>
      </w:rPr>
    </w:lvl>
  </w:abstractNum>
  <w:abstractNum w:abstractNumId="8" w15:restartNumberingAfterBreak="0">
    <w:nsid w:val="60F560A9"/>
    <w:multiLevelType w:val="hybridMultilevel"/>
    <w:tmpl w:val="691A92FE"/>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6B6961D0"/>
    <w:multiLevelType w:val="hybridMultilevel"/>
    <w:tmpl w:val="12CC9DB4"/>
    <w:lvl w:ilvl="0" w:tplc="0809000F">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A3C1408"/>
    <w:multiLevelType w:val="hybridMultilevel"/>
    <w:tmpl w:val="4E78C03E"/>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num w:numId="1">
    <w:abstractNumId w:val="9"/>
  </w:num>
  <w:num w:numId="2">
    <w:abstractNumId w:val="1"/>
  </w:num>
  <w:num w:numId="3">
    <w:abstractNumId w:val="4"/>
  </w:num>
  <w:num w:numId="4">
    <w:abstractNumId w:val="7"/>
  </w:num>
  <w:num w:numId="5">
    <w:abstractNumId w:val="0"/>
  </w:num>
  <w:num w:numId="6">
    <w:abstractNumId w:val="2"/>
  </w:num>
  <w:num w:numId="7">
    <w:abstractNumId w:val="10"/>
  </w:num>
  <w:num w:numId="8">
    <w:abstractNumId w:val="5"/>
  </w:num>
  <w:num w:numId="9">
    <w:abstractNumId w:val="3"/>
  </w:num>
  <w:num w:numId="10">
    <w:abstractNumId w:val="6"/>
  </w:num>
  <w:num w:numId="11">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12B1"/>
    <w:rsid w:val="000158F9"/>
    <w:rsid w:val="00023688"/>
    <w:rsid w:val="00035CDD"/>
    <w:rsid w:val="00040083"/>
    <w:rsid w:val="00055992"/>
    <w:rsid w:val="00055D41"/>
    <w:rsid w:val="000820E8"/>
    <w:rsid w:val="00091630"/>
    <w:rsid w:val="000A562B"/>
    <w:rsid w:val="000D03F0"/>
    <w:rsid w:val="000D691D"/>
    <w:rsid w:val="001175EE"/>
    <w:rsid w:val="00157CF6"/>
    <w:rsid w:val="0017572D"/>
    <w:rsid w:val="00182416"/>
    <w:rsid w:val="00187EB4"/>
    <w:rsid w:val="001A3363"/>
    <w:rsid w:val="001C0403"/>
    <w:rsid w:val="001E36CB"/>
    <w:rsid w:val="001E753D"/>
    <w:rsid w:val="001F0481"/>
    <w:rsid w:val="001F494F"/>
    <w:rsid w:val="00200C92"/>
    <w:rsid w:val="00202FF6"/>
    <w:rsid w:val="0020451E"/>
    <w:rsid w:val="00206B9D"/>
    <w:rsid w:val="0023259C"/>
    <w:rsid w:val="002661FB"/>
    <w:rsid w:val="002701FE"/>
    <w:rsid w:val="00295F5B"/>
    <w:rsid w:val="002B0BD7"/>
    <w:rsid w:val="002B573D"/>
    <w:rsid w:val="002C5CB2"/>
    <w:rsid w:val="002D0ACC"/>
    <w:rsid w:val="002F779F"/>
    <w:rsid w:val="003322CE"/>
    <w:rsid w:val="00346D70"/>
    <w:rsid w:val="0035287D"/>
    <w:rsid w:val="00364233"/>
    <w:rsid w:val="00371885"/>
    <w:rsid w:val="0038587F"/>
    <w:rsid w:val="003B124A"/>
    <w:rsid w:val="003D622C"/>
    <w:rsid w:val="003E2B87"/>
    <w:rsid w:val="00402786"/>
    <w:rsid w:val="00405895"/>
    <w:rsid w:val="004058DF"/>
    <w:rsid w:val="00427E37"/>
    <w:rsid w:val="004403EF"/>
    <w:rsid w:val="00443E6F"/>
    <w:rsid w:val="00470B55"/>
    <w:rsid w:val="004832F9"/>
    <w:rsid w:val="00486F1A"/>
    <w:rsid w:val="00490CB9"/>
    <w:rsid w:val="004A2CE2"/>
    <w:rsid w:val="004C5496"/>
    <w:rsid w:val="004E2A14"/>
    <w:rsid w:val="004E3CDA"/>
    <w:rsid w:val="004F4B4D"/>
    <w:rsid w:val="0050216D"/>
    <w:rsid w:val="00503D7E"/>
    <w:rsid w:val="005066D6"/>
    <w:rsid w:val="0050778F"/>
    <w:rsid w:val="00527C11"/>
    <w:rsid w:val="00534C7C"/>
    <w:rsid w:val="00535F31"/>
    <w:rsid w:val="0055274D"/>
    <w:rsid w:val="00553035"/>
    <w:rsid w:val="005554E8"/>
    <w:rsid w:val="00574D64"/>
    <w:rsid w:val="00581BEB"/>
    <w:rsid w:val="00591365"/>
    <w:rsid w:val="005A336C"/>
    <w:rsid w:val="005B31E4"/>
    <w:rsid w:val="006034F6"/>
    <w:rsid w:val="0060360D"/>
    <w:rsid w:val="00607874"/>
    <w:rsid w:val="00607E77"/>
    <w:rsid w:val="00617BB3"/>
    <w:rsid w:val="00624A05"/>
    <w:rsid w:val="0063420F"/>
    <w:rsid w:val="00645CDD"/>
    <w:rsid w:val="00653E11"/>
    <w:rsid w:val="006823A7"/>
    <w:rsid w:val="00687EE8"/>
    <w:rsid w:val="006A35B8"/>
    <w:rsid w:val="006E1325"/>
    <w:rsid w:val="006E7AB7"/>
    <w:rsid w:val="0070347F"/>
    <w:rsid w:val="0070678E"/>
    <w:rsid w:val="0071539D"/>
    <w:rsid w:val="00743139"/>
    <w:rsid w:val="00753530"/>
    <w:rsid w:val="007725C8"/>
    <w:rsid w:val="007A3468"/>
    <w:rsid w:val="007C450D"/>
    <w:rsid w:val="0081720F"/>
    <w:rsid w:val="00831C11"/>
    <w:rsid w:val="00866512"/>
    <w:rsid w:val="0087414F"/>
    <w:rsid w:val="008A231D"/>
    <w:rsid w:val="008A5A0D"/>
    <w:rsid w:val="008A60B4"/>
    <w:rsid w:val="008B3C31"/>
    <w:rsid w:val="008B64FE"/>
    <w:rsid w:val="00935BF7"/>
    <w:rsid w:val="009438D1"/>
    <w:rsid w:val="00944536"/>
    <w:rsid w:val="0095442C"/>
    <w:rsid w:val="00983942"/>
    <w:rsid w:val="0098698D"/>
    <w:rsid w:val="009B0256"/>
    <w:rsid w:val="009C37E0"/>
    <w:rsid w:val="009D0524"/>
    <w:rsid w:val="009E41F4"/>
    <w:rsid w:val="00A04121"/>
    <w:rsid w:val="00A1174D"/>
    <w:rsid w:val="00A14B66"/>
    <w:rsid w:val="00A225BF"/>
    <w:rsid w:val="00A232A9"/>
    <w:rsid w:val="00A32A34"/>
    <w:rsid w:val="00A330AE"/>
    <w:rsid w:val="00A51FD8"/>
    <w:rsid w:val="00A524C0"/>
    <w:rsid w:val="00A62F3F"/>
    <w:rsid w:val="00A65CF7"/>
    <w:rsid w:val="00A81AB4"/>
    <w:rsid w:val="00A851DA"/>
    <w:rsid w:val="00A97AF6"/>
    <w:rsid w:val="00AC14EB"/>
    <w:rsid w:val="00AC7D5B"/>
    <w:rsid w:val="00AD05EA"/>
    <w:rsid w:val="00AE1481"/>
    <w:rsid w:val="00B0415E"/>
    <w:rsid w:val="00B04678"/>
    <w:rsid w:val="00B067D6"/>
    <w:rsid w:val="00B1413E"/>
    <w:rsid w:val="00B15489"/>
    <w:rsid w:val="00B37993"/>
    <w:rsid w:val="00B855CD"/>
    <w:rsid w:val="00B9029D"/>
    <w:rsid w:val="00BC46DF"/>
    <w:rsid w:val="00BC576D"/>
    <w:rsid w:val="00BD1A71"/>
    <w:rsid w:val="00BE6323"/>
    <w:rsid w:val="00C03577"/>
    <w:rsid w:val="00C26DBE"/>
    <w:rsid w:val="00C409D7"/>
    <w:rsid w:val="00C41A75"/>
    <w:rsid w:val="00C461FD"/>
    <w:rsid w:val="00C53029"/>
    <w:rsid w:val="00C65FEA"/>
    <w:rsid w:val="00C71BA6"/>
    <w:rsid w:val="00C8490D"/>
    <w:rsid w:val="00CA0AC2"/>
    <w:rsid w:val="00CB4D0A"/>
    <w:rsid w:val="00CC2FB3"/>
    <w:rsid w:val="00CC575A"/>
    <w:rsid w:val="00CD70BC"/>
    <w:rsid w:val="00CF123B"/>
    <w:rsid w:val="00D00C8B"/>
    <w:rsid w:val="00D039AC"/>
    <w:rsid w:val="00D23AB1"/>
    <w:rsid w:val="00D427DE"/>
    <w:rsid w:val="00D547F7"/>
    <w:rsid w:val="00D5587D"/>
    <w:rsid w:val="00D62067"/>
    <w:rsid w:val="00D707CC"/>
    <w:rsid w:val="00D821FE"/>
    <w:rsid w:val="00DB0793"/>
    <w:rsid w:val="00DD5CDE"/>
    <w:rsid w:val="00E00821"/>
    <w:rsid w:val="00E04DB4"/>
    <w:rsid w:val="00E30679"/>
    <w:rsid w:val="00E4597D"/>
    <w:rsid w:val="00E54832"/>
    <w:rsid w:val="00E56A90"/>
    <w:rsid w:val="00E641CC"/>
    <w:rsid w:val="00E86D3E"/>
    <w:rsid w:val="00EA30AB"/>
    <w:rsid w:val="00EA3439"/>
    <w:rsid w:val="00EB1718"/>
    <w:rsid w:val="00EB3925"/>
    <w:rsid w:val="00EB505F"/>
    <w:rsid w:val="00EF6778"/>
    <w:rsid w:val="00F101B6"/>
    <w:rsid w:val="00F26C75"/>
    <w:rsid w:val="00F50C27"/>
    <w:rsid w:val="00F60FAB"/>
    <w:rsid w:val="00F66A5C"/>
    <w:rsid w:val="00F77C73"/>
    <w:rsid w:val="00F82082"/>
    <w:rsid w:val="00F84DCD"/>
    <w:rsid w:val="00F91F29"/>
    <w:rsid w:val="00F96EB3"/>
    <w:rsid w:val="00FD7A7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B9F970"/>
  <w15:docId w15:val="{EE3079EC-CC20-4FFA-A4CA-2CB291542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microsoft.com/office/2007/relationships/diagramDrawing" Target="diagrams/drawing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diagramLayout" Target="diagrams/layout2.xml"/><Relationship Id="rId10" Type="http://schemas.openxmlformats.org/officeDocument/2006/relationships/diagramLayout" Target="diagrams/layout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9D137FA-9595-4C20-8194-7BC3FECBC740}"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n-GB"/>
        </a:p>
      </dgm:t>
    </dgm:pt>
    <dgm:pt modelId="{138F1A40-8DE8-43A2-9591-44427AA5F3D1}">
      <dgm:prSet phldrT="[Text]"/>
      <dgm:spPr>
        <a:solidFill>
          <a:schemeClr val="accent5">
            <a:lumMod val="50000"/>
          </a:schemeClr>
        </a:solidFill>
      </dgm:spPr>
      <dgm:t>
        <a:bodyPr/>
        <a:lstStyle/>
        <a:p>
          <a:r>
            <a:rPr lang="en-GB" b="1"/>
            <a:t>Project Risk Management</a:t>
          </a:r>
        </a:p>
      </dgm:t>
    </dgm:pt>
    <dgm:pt modelId="{BA7714D5-E65C-4656-AB41-310536621DA0}" type="parTrans" cxnId="{0574EC00-9539-4CB2-8FCC-45F948C330A8}">
      <dgm:prSet/>
      <dgm:spPr/>
      <dgm:t>
        <a:bodyPr/>
        <a:lstStyle/>
        <a:p>
          <a:endParaRPr lang="en-GB"/>
        </a:p>
      </dgm:t>
    </dgm:pt>
    <dgm:pt modelId="{981FA953-6B89-481C-A92A-E9ED7EC24B5D}" type="sibTrans" cxnId="{0574EC00-9539-4CB2-8FCC-45F948C330A8}">
      <dgm:prSet/>
      <dgm:spPr/>
      <dgm:t>
        <a:bodyPr/>
        <a:lstStyle/>
        <a:p>
          <a:endParaRPr lang="en-GB"/>
        </a:p>
      </dgm:t>
    </dgm:pt>
    <dgm:pt modelId="{3C9C94D3-36BB-4E3C-AD3F-8892251141E3}">
      <dgm:prSet phldrT="[Text]" custT="1"/>
      <dgm:spPr>
        <a:solidFill>
          <a:schemeClr val="accent5">
            <a:lumMod val="60000"/>
            <a:lumOff val="40000"/>
          </a:schemeClr>
        </a:solidFill>
      </dgm:spPr>
      <dgm:t>
        <a:bodyPr/>
        <a:lstStyle/>
        <a:p>
          <a:r>
            <a:rPr lang="en-GB" sz="900" b="1">
              <a:solidFill>
                <a:sysClr val="windowText" lastClr="000000"/>
              </a:solidFill>
            </a:rPr>
            <a:t>Risk Management Planning</a:t>
          </a:r>
        </a:p>
      </dgm:t>
    </dgm:pt>
    <dgm:pt modelId="{B4AFC5F9-8EAC-4DE7-AE48-BAFD6A4B3C9E}" type="parTrans" cxnId="{529F06CB-9A79-41F7-AB91-8E7FF4E2ABEC}">
      <dgm:prSet/>
      <dgm:spPr/>
      <dgm:t>
        <a:bodyPr/>
        <a:lstStyle/>
        <a:p>
          <a:endParaRPr lang="en-GB"/>
        </a:p>
      </dgm:t>
    </dgm:pt>
    <dgm:pt modelId="{6C5CADAD-6FAE-439E-B4BC-301DDDA61E16}" type="sibTrans" cxnId="{529F06CB-9A79-41F7-AB91-8E7FF4E2ABEC}">
      <dgm:prSet/>
      <dgm:spPr/>
      <dgm:t>
        <a:bodyPr/>
        <a:lstStyle/>
        <a:p>
          <a:endParaRPr lang="en-GB"/>
        </a:p>
      </dgm:t>
    </dgm:pt>
    <dgm:pt modelId="{75DCEEBA-4FE7-4A75-9CDD-D9AC7D4C292E}">
      <dgm:prSet phldrT="[Text]" custT="1"/>
      <dgm:spPr>
        <a:solidFill>
          <a:schemeClr val="accent5">
            <a:lumMod val="60000"/>
            <a:lumOff val="40000"/>
          </a:schemeClr>
        </a:solidFill>
      </dgm:spPr>
      <dgm:t>
        <a:bodyPr/>
        <a:lstStyle/>
        <a:p>
          <a:r>
            <a:rPr lang="en-GB" sz="900" b="1">
              <a:solidFill>
                <a:sysClr val="windowText" lastClr="000000"/>
              </a:solidFill>
            </a:rPr>
            <a:t>Risk Identification</a:t>
          </a:r>
        </a:p>
      </dgm:t>
    </dgm:pt>
    <dgm:pt modelId="{AF52A372-6A1E-430D-91BA-801610934540}" type="parTrans" cxnId="{1745311A-5317-48F0-AB65-EEBF88A99241}">
      <dgm:prSet/>
      <dgm:spPr/>
      <dgm:t>
        <a:bodyPr/>
        <a:lstStyle/>
        <a:p>
          <a:endParaRPr lang="en-GB"/>
        </a:p>
      </dgm:t>
    </dgm:pt>
    <dgm:pt modelId="{D3BA887D-9FF9-47AB-8E2E-C423793FF14F}" type="sibTrans" cxnId="{1745311A-5317-48F0-AB65-EEBF88A99241}">
      <dgm:prSet/>
      <dgm:spPr/>
      <dgm:t>
        <a:bodyPr/>
        <a:lstStyle/>
        <a:p>
          <a:endParaRPr lang="en-GB"/>
        </a:p>
      </dgm:t>
    </dgm:pt>
    <dgm:pt modelId="{801296D3-15B5-415E-A0ED-2333341F4585}">
      <dgm:prSet phldrT="[Text]"/>
      <dgm:spPr>
        <a:solidFill>
          <a:schemeClr val="accent5">
            <a:lumMod val="60000"/>
            <a:lumOff val="40000"/>
          </a:schemeClr>
        </a:solidFill>
      </dgm:spPr>
      <dgm:t>
        <a:bodyPr/>
        <a:lstStyle/>
        <a:p>
          <a:r>
            <a:rPr lang="en-GB" b="1">
              <a:solidFill>
                <a:sysClr val="windowText" lastClr="000000"/>
              </a:solidFill>
            </a:rPr>
            <a:t>Risk Analysis (Qualitative)</a:t>
          </a:r>
        </a:p>
      </dgm:t>
    </dgm:pt>
    <dgm:pt modelId="{BC07EEE7-EF1A-4AAC-83E1-8B2DB9012BAF}" type="parTrans" cxnId="{EAABEDCE-EF9F-4282-96D7-74C183B7394C}">
      <dgm:prSet/>
      <dgm:spPr/>
      <dgm:t>
        <a:bodyPr/>
        <a:lstStyle/>
        <a:p>
          <a:endParaRPr lang="en-GB"/>
        </a:p>
      </dgm:t>
    </dgm:pt>
    <dgm:pt modelId="{0180CD13-5C95-4497-9B33-F2EACFF25F18}" type="sibTrans" cxnId="{EAABEDCE-EF9F-4282-96D7-74C183B7394C}">
      <dgm:prSet/>
      <dgm:spPr/>
      <dgm:t>
        <a:bodyPr/>
        <a:lstStyle/>
        <a:p>
          <a:endParaRPr lang="en-GB"/>
        </a:p>
      </dgm:t>
    </dgm:pt>
    <dgm:pt modelId="{13AB5AA0-B6C3-4586-BA36-300470405F63}">
      <dgm:prSet/>
      <dgm:spPr>
        <a:solidFill>
          <a:schemeClr val="accent5">
            <a:lumMod val="60000"/>
            <a:lumOff val="40000"/>
          </a:schemeClr>
        </a:solidFill>
      </dgm:spPr>
      <dgm:t>
        <a:bodyPr/>
        <a:lstStyle/>
        <a:p>
          <a:r>
            <a:rPr lang="en-GB" b="1">
              <a:solidFill>
                <a:sysClr val="windowText" lastClr="000000"/>
              </a:solidFill>
            </a:rPr>
            <a:t>Risk Evaluation (Quantitative)</a:t>
          </a:r>
        </a:p>
      </dgm:t>
    </dgm:pt>
    <dgm:pt modelId="{D766FD67-22A6-4CC3-A4C8-62440C271A49}" type="parTrans" cxnId="{1088361E-3C26-4CC4-836D-DD269C6A28BA}">
      <dgm:prSet/>
      <dgm:spPr/>
      <dgm:t>
        <a:bodyPr/>
        <a:lstStyle/>
        <a:p>
          <a:endParaRPr lang="en-GB"/>
        </a:p>
      </dgm:t>
    </dgm:pt>
    <dgm:pt modelId="{ED3501F7-9719-42AB-8442-33CF810893E1}" type="sibTrans" cxnId="{1088361E-3C26-4CC4-836D-DD269C6A28BA}">
      <dgm:prSet/>
      <dgm:spPr/>
      <dgm:t>
        <a:bodyPr/>
        <a:lstStyle/>
        <a:p>
          <a:endParaRPr lang="en-GB"/>
        </a:p>
      </dgm:t>
    </dgm:pt>
    <dgm:pt modelId="{E4559B33-37AC-46DA-B60C-402722A6CB5D}">
      <dgm:prSet/>
      <dgm:spPr>
        <a:solidFill>
          <a:schemeClr val="accent5">
            <a:lumMod val="60000"/>
            <a:lumOff val="40000"/>
          </a:schemeClr>
        </a:solidFill>
      </dgm:spPr>
      <dgm:t>
        <a:bodyPr/>
        <a:lstStyle/>
        <a:p>
          <a:r>
            <a:rPr lang="en-GB" b="1">
              <a:solidFill>
                <a:sysClr val="windowText" lastClr="000000"/>
              </a:solidFill>
            </a:rPr>
            <a:t>Risk Response Planning</a:t>
          </a:r>
        </a:p>
      </dgm:t>
    </dgm:pt>
    <dgm:pt modelId="{2E7F535F-4906-4548-A079-25F40FA60C6D}" type="parTrans" cxnId="{BE2098D6-5C63-4618-8CCE-6BA5F5A7D45D}">
      <dgm:prSet/>
      <dgm:spPr/>
      <dgm:t>
        <a:bodyPr/>
        <a:lstStyle/>
        <a:p>
          <a:endParaRPr lang="en-GB"/>
        </a:p>
      </dgm:t>
    </dgm:pt>
    <dgm:pt modelId="{6F7CFC9E-6E3E-4FE3-BE8B-14321C1C7216}" type="sibTrans" cxnId="{BE2098D6-5C63-4618-8CCE-6BA5F5A7D45D}">
      <dgm:prSet/>
      <dgm:spPr/>
      <dgm:t>
        <a:bodyPr/>
        <a:lstStyle/>
        <a:p>
          <a:endParaRPr lang="en-GB"/>
        </a:p>
      </dgm:t>
    </dgm:pt>
    <dgm:pt modelId="{39FB7882-DCC9-4FCF-A36F-A3E8F0CA5697}">
      <dgm:prSet/>
      <dgm:spPr>
        <a:solidFill>
          <a:schemeClr val="accent5">
            <a:lumMod val="60000"/>
            <a:lumOff val="40000"/>
          </a:schemeClr>
        </a:solidFill>
      </dgm:spPr>
      <dgm:t>
        <a:bodyPr/>
        <a:lstStyle/>
        <a:p>
          <a:r>
            <a:rPr lang="en-GB" b="1">
              <a:solidFill>
                <a:sysClr val="windowText" lastClr="000000"/>
              </a:solidFill>
            </a:rPr>
            <a:t>Risks Treatment</a:t>
          </a:r>
        </a:p>
      </dgm:t>
    </dgm:pt>
    <dgm:pt modelId="{282B3114-94A5-4370-9C46-159512953BA1}" type="parTrans" cxnId="{7A9BF073-776B-4612-B06A-C792A791923D}">
      <dgm:prSet/>
      <dgm:spPr/>
      <dgm:t>
        <a:bodyPr/>
        <a:lstStyle/>
        <a:p>
          <a:endParaRPr lang="en-GB"/>
        </a:p>
      </dgm:t>
    </dgm:pt>
    <dgm:pt modelId="{A7D3D5F5-72B9-4342-815A-0A537804FC52}" type="sibTrans" cxnId="{7A9BF073-776B-4612-B06A-C792A791923D}">
      <dgm:prSet/>
      <dgm:spPr/>
      <dgm:t>
        <a:bodyPr/>
        <a:lstStyle/>
        <a:p>
          <a:endParaRPr lang="en-GB"/>
        </a:p>
      </dgm:t>
    </dgm:pt>
    <dgm:pt modelId="{0CF74162-86FB-48A2-BA5C-73A3C779AC18}">
      <dgm:prSet/>
      <dgm:spPr>
        <a:solidFill>
          <a:schemeClr val="accent5">
            <a:lumMod val="60000"/>
            <a:lumOff val="40000"/>
          </a:schemeClr>
        </a:solidFill>
      </dgm:spPr>
      <dgm:t>
        <a:bodyPr/>
        <a:lstStyle/>
        <a:p>
          <a:r>
            <a:rPr lang="en-GB" b="1">
              <a:solidFill>
                <a:sysClr val="windowText" lastClr="000000"/>
              </a:solidFill>
            </a:rPr>
            <a:t>Risk  Monitoring &amp; Control</a:t>
          </a:r>
        </a:p>
      </dgm:t>
    </dgm:pt>
    <dgm:pt modelId="{0E30B726-2CEA-4D78-AB37-3974886B415B}" type="parTrans" cxnId="{43CA6405-51B4-4F45-A88D-E04E181465CD}">
      <dgm:prSet/>
      <dgm:spPr/>
      <dgm:t>
        <a:bodyPr/>
        <a:lstStyle/>
        <a:p>
          <a:endParaRPr lang="en-GB"/>
        </a:p>
      </dgm:t>
    </dgm:pt>
    <dgm:pt modelId="{2974BC59-6124-411C-B73B-7FFB93B36D89}" type="sibTrans" cxnId="{43CA6405-51B4-4F45-A88D-E04E181465CD}">
      <dgm:prSet/>
      <dgm:spPr/>
      <dgm:t>
        <a:bodyPr/>
        <a:lstStyle/>
        <a:p>
          <a:endParaRPr lang="en-GB"/>
        </a:p>
      </dgm:t>
    </dgm:pt>
    <dgm:pt modelId="{DBED153D-B1B4-47D8-983A-FD778F963447}">
      <dgm:prSet/>
      <dgm:spPr>
        <a:solidFill>
          <a:schemeClr val="accent5">
            <a:lumMod val="60000"/>
            <a:lumOff val="40000"/>
          </a:schemeClr>
        </a:solidFill>
      </dgm:spPr>
      <dgm:t>
        <a:bodyPr/>
        <a:lstStyle/>
        <a:p>
          <a:r>
            <a:rPr lang="en-GB" b="1">
              <a:solidFill>
                <a:sysClr val="windowText" lastClr="000000"/>
              </a:solidFill>
            </a:rPr>
            <a:t>Communication &amp; Consultation</a:t>
          </a:r>
        </a:p>
      </dgm:t>
    </dgm:pt>
    <dgm:pt modelId="{939B8C83-899E-472D-9586-891D39988E01}" type="parTrans" cxnId="{E7D0ED50-AAD7-433F-896D-EC95669CB944}">
      <dgm:prSet/>
      <dgm:spPr/>
      <dgm:t>
        <a:bodyPr/>
        <a:lstStyle/>
        <a:p>
          <a:endParaRPr lang="en-GB"/>
        </a:p>
      </dgm:t>
    </dgm:pt>
    <dgm:pt modelId="{D20D52C5-5896-49DC-8036-806E2D37C49B}" type="sibTrans" cxnId="{E7D0ED50-AAD7-433F-896D-EC95669CB944}">
      <dgm:prSet/>
      <dgm:spPr/>
      <dgm:t>
        <a:bodyPr/>
        <a:lstStyle/>
        <a:p>
          <a:endParaRPr lang="en-GB"/>
        </a:p>
      </dgm:t>
    </dgm:pt>
    <dgm:pt modelId="{F0D3964E-7EA7-41EC-9D29-EB7E1D55A47D}">
      <dgm:prSet/>
      <dgm:spPr>
        <a:solidFill>
          <a:schemeClr val="accent5">
            <a:lumMod val="60000"/>
            <a:lumOff val="40000"/>
          </a:schemeClr>
        </a:solidFill>
      </dgm:spPr>
      <dgm:t>
        <a:bodyPr/>
        <a:lstStyle/>
        <a:p>
          <a:r>
            <a:rPr lang="en-GB" b="1">
              <a:solidFill>
                <a:sysClr val="windowText" lastClr="000000"/>
              </a:solidFill>
            </a:rPr>
            <a:t>Review Risk Management</a:t>
          </a:r>
        </a:p>
      </dgm:t>
    </dgm:pt>
    <dgm:pt modelId="{48A0A478-6718-4052-9153-E65CA892A86C}" type="parTrans" cxnId="{29717365-F269-4822-8F8D-8A0055067590}">
      <dgm:prSet/>
      <dgm:spPr/>
      <dgm:t>
        <a:bodyPr/>
        <a:lstStyle/>
        <a:p>
          <a:endParaRPr lang="en-GB"/>
        </a:p>
      </dgm:t>
    </dgm:pt>
    <dgm:pt modelId="{3E23A33B-CB31-4218-AB88-417A46F92199}" type="sibTrans" cxnId="{29717365-F269-4822-8F8D-8A0055067590}">
      <dgm:prSet/>
      <dgm:spPr/>
      <dgm:t>
        <a:bodyPr/>
        <a:lstStyle/>
        <a:p>
          <a:endParaRPr lang="en-GB"/>
        </a:p>
      </dgm:t>
    </dgm:pt>
    <dgm:pt modelId="{0CC01E67-2754-4B15-9E71-E8243C434EA6}" type="pres">
      <dgm:prSet presAssocID="{19D137FA-9595-4C20-8194-7BC3FECBC740}" presName="Name0" presStyleCnt="0">
        <dgm:presLayoutVars>
          <dgm:chPref val="1"/>
          <dgm:dir/>
          <dgm:animOne val="branch"/>
          <dgm:animLvl val="lvl"/>
          <dgm:resizeHandles val="exact"/>
        </dgm:presLayoutVars>
      </dgm:prSet>
      <dgm:spPr/>
    </dgm:pt>
    <dgm:pt modelId="{7C2B8EAE-8761-49A1-86B4-B5723A1A2AC9}" type="pres">
      <dgm:prSet presAssocID="{138F1A40-8DE8-43A2-9591-44427AA5F3D1}" presName="root1" presStyleCnt="0"/>
      <dgm:spPr/>
    </dgm:pt>
    <dgm:pt modelId="{648B4E42-D252-4133-8ECC-C4D4378DFAD7}" type="pres">
      <dgm:prSet presAssocID="{138F1A40-8DE8-43A2-9591-44427AA5F3D1}" presName="LevelOneTextNode" presStyleLbl="node0" presStyleIdx="0" presStyleCnt="1" custScaleX="195859" custScaleY="155946">
        <dgm:presLayoutVars>
          <dgm:chPref val="3"/>
        </dgm:presLayoutVars>
      </dgm:prSet>
      <dgm:spPr/>
    </dgm:pt>
    <dgm:pt modelId="{0C88F086-B7B6-49EF-A37F-A92AEFDE1A7C}" type="pres">
      <dgm:prSet presAssocID="{138F1A40-8DE8-43A2-9591-44427AA5F3D1}" presName="level2hierChild" presStyleCnt="0"/>
      <dgm:spPr/>
    </dgm:pt>
    <dgm:pt modelId="{161EEE6B-ADD0-4BAD-8322-ACB6ADB5C747}" type="pres">
      <dgm:prSet presAssocID="{B4AFC5F9-8EAC-4DE7-AE48-BAFD6A4B3C9E}" presName="conn2-1" presStyleLbl="parChTrans1D2" presStyleIdx="0" presStyleCnt="9"/>
      <dgm:spPr/>
    </dgm:pt>
    <dgm:pt modelId="{24D947E0-79C0-4E2F-902C-A9AFFC1A0BF6}" type="pres">
      <dgm:prSet presAssocID="{B4AFC5F9-8EAC-4DE7-AE48-BAFD6A4B3C9E}" presName="connTx" presStyleLbl="parChTrans1D2" presStyleIdx="0" presStyleCnt="9"/>
      <dgm:spPr/>
    </dgm:pt>
    <dgm:pt modelId="{74FCB8BD-6A72-4127-83D8-71493789F5A0}" type="pres">
      <dgm:prSet presAssocID="{3C9C94D3-36BB-4E3C-AD3F-8892251141E3}" presName="root2" presStyleCnt="0"/>
      <dgm:spPr/>
    </dgm:pt>
    <dgm:pt modelId="{F48AE834-2ECA-4B15-B0C7-C87C66F6AA19}" type="pres">
      <dgm:prSet presAssocID="{3C9C94D3-36BB-4E3C-AD3F-8892251141E3}" presName="LevelTwoTextNode" presStyleLbl="node2" presStyleIdx="0" presStyleCnt="9" custScaleX="375584" custScaleY="99922">
        <dgm:presLayoutVars>
          <dgm:chPref val="3"/>
        </dgm:presLayoutVars>
      </dgm:prSet>
      <dgm:spPr/>
    </dgm:pt>
    <dgm:pt modelId="{647E3F07-34B1-4D3F-88AF-DE09F5842867}" type="pres">
      <dgm:prSet presAssocID="{3C9C94D3-36BB-4E3C-AD3F-8892251141E3}" presName="level3hierChild" presStyleCnt="0"/>
      <dgm:spPr/>
    </dgm:pt>
    <dgm:pt modelId="{8DBF6A69-B178-45D4-BBAD-DE44B71FACD5}" type="pres">
      <dgm:prSet presAssocID="{AF52A372-6A1E-430D-91BA-801610934540}" presName="conn2-1" presStyleLbl="parChTrans1D2" presStyleIdx="1" presStyleCnt="9"/>
      <dgm:spPr/>
    </dgm:pt>
    <dgm:pt modelId="{AAACF2B5-B817-4377-96EC-10B411A21D37}" type="pres">
      <dgm:prSet presAssocID="{AF52A372-6A1E-430D-91BA-801610934540}" presName="connTx" presStyleLbl="parChTrans1D2" presStyleIdx="1" presStyleCnt="9"/>
      <dgm:spPr/>
    </dgm:pt>
    <dgm:pt modelId="{AC98620D-7BC6-4A2B-B34C-40A217814DD2}" type="pres">
      <dgm:prSet presAssocID="{75DCEEBA-4FE7-4A75-9CDD-D9AC7D4C292E}" presName="root2" presStyleCnt="0"/>
      <dgm:spPr/>
    </dgm:pt>
    <dgm:pt modelId="{6391F601-023A-4F36-BE6E-FF9F3315C30D}" type="pres">
      <dgm:prSet presAssocID="{75DCEEBA-4FE7-4A75-9CDD-D9AC7D4C292E}" presName="LevelTwoTextNode" presStyleLbl="node2" presStyleIdx="1" presStyleCnt="9" custScaleX="375584" custScaleY="99922">
        <dgm:presLayoutVars>
          <dgm:chPref val="3"/>
        </dgm:presLayoutVars>
      </dgm:prSet>
      <dgm:spPr/>
    </dgm:pt>
    <dgm:pt modelId="{73915959-7BFC-415F-B8E4-172FAF24486D}" type="pres">
      <dgm:prSet presAssocID="{75DCEEBA-4FE7-4A75-9CDD-D9AC7D4C292E}" presName="level3hierChild" presStyleCnt="0"/>
      <dgm:spPr/>
    </dgm:pt>
    <dgm:pt modelId="{40C61001-ECBA-4B3F-B088-BD50A46B4547}" type="pres">
      <dgm:prSet presAssocID="{BC07EEE7-EF1A-4AAC-83E1-8B2DB9012BAF}" presName="conn2-1" presStyleLbl="parChTrans1D2" presStyleIdx="2" presStyleCnt="9"/>
      <dgm:spPr/>
    </dgm:pt>
    <dgm:pt modelId="{C08F7D35-BABD-4806-832E-7A041910A189}" type="pres">
      <dgm:prSet presAssocID="{BC07EEE7-EF1A-4AAC-83E1-8B2DB9012BAF}" presName="connTx" presStyleLbl="parChTrans1D2" presStyleIdx="2" presStyleCnt="9"/>
      <dgm:spPr/>
    </dgm:pt>
    <dgm:pt modelId="{B48EF8B8-FFE8-4BCD-852D-38222C8E94AE}" type="pres">
      <dgm:prSet presAssocID="{801296D3-15B5-415E-A0ED-2333341F4585}" presName="root2" presStyleCnt="0"/>
      <dgm:spPr/>
    </dgm:pt>
    <dgm:pt modelId="{A9727E45-2F78-4431-9A5C-103A1FFFFCF7}" type="pres">
      <dgm:prSet presAssocID="{801296D3-15B5-415E-A0ED-2333341F4585}" presName="LevelTwoTextNode" presStyleLbl="node2" presStyleIdx="2" presStyleCnt="9" custScaleX="375584" custScaleY="99922">
        <dgm:presLayoutVars>
          <dgm:chPref val="3"/>
        </dgm:presLayoutVars>
      </dgm:prSet>
      <dgm:spPr/>
    </dgm:pt>
    <dgm:pt modelId="{E59E48E6-10FB-4513-938B-DAB45EF16FE0}" type="pres">
      <dgm:prSet presAssocID="{801296D3-15B5-415E-A0ED-2333341F4585}" presName="level3hierChild" presStyleCnt="0"/>
      <dgm:spPr/>
    </dgm:pt>
    <dgm:pt modelId="{3681AE75-1935-46BC-9663-CC6AD3CA2C06}" type="pres">
      <dgm:prSet presAssocID="{D766FD67-22A6-4CC3-A4C8-62440C271A49}" presName="conn2-1" presStyleLbl="parChTrans1D2" presStyleIdx="3" presStyleCnt="9"/>
      <dgm:spPr/>
    </dgm:pt>
    <dgm:pt modelId="{1495324C-27DD-44F5-9977-E6E1F92104BB}" type="pres">
      <dgm:prSet presAssocID="{D766FD67-22A6-4CC3-A4C8-62440C271A49}" presName="connTx" presStyleLbl="parChTrans1D2" presStyleIdx="3" presStyleCnt="9"/>
      <dgm:spPr/>
    </dgm:pt>
    <dgm:pt modelId="{28BA2D1F-EC84-4AA2-8F7B-2BB20C1CDAE9}" type="pres">
      <dgm:prSet presAssocID="{13AB5AA0-B6C3-4586-BA36-300470405F63}" presName="root2" presStyleCnt="0"/>
      <dgm:spPr/>
    </dgm:pt>
    <dgm:pt modelId="{E245BFCF-7B24-4A3E-A51D-FEBB725B4CDD}" type="pres">
      <dgm:prSet presAssocID="{13AB5AA0-B6C3-4586-BA36-300470405F63}" presName="LevelTwoTextNode" presStyleLbl="node2" presStyleIdx="3" presStyleCnt="9" custScaleX="375584" custScaleY="99922">
        <dgm:presLayoutVars>
          <dgm:chPref val="3"/>
        </dgm:presLayoutVars>
      </dgm:prSet>
      <dgm:spPr/>
    </dgm:pt>
    <dgm:pt modelId="{2EB46020-156A-43CE-8A7B-5EB2F6EEB881}" type="pres">
      <dgm:prSet presAssocID="{13AB5AA0-B6C3-4586-BA36-300470405F63}" presName="level3hierChild" presStyleCnt="0"/>
      <dgm:spPr/>
    </dgm:pt>
    <dgm:pt modelId="{EA554AA7-B0F3-45F2-8C06-41A772DEDCD4}" type="pres">
      <dgm:prSet presAssocID="{2E7F535F-4906-4548-A079-25F40FA60C6D}" presName="conn2-1" presStyleLbl="parChTrans1D2" presStyleIdx="4" presStyleCnt="9"/>
      <dgm:spPr/>
    </dgm:pt>
    <dgm:pt modelId="{6AE95637-BB77-49D5-B592-4EC8ABA1602D}" type="pres">
      <dgm:prSet presAssocID="{2E7F535F-4906-4548-A079-25F40FA60C6D}" presName="connTx" presStyleLbl="parChTrans1D2" presStyleIdx="4" presStyleCnt="9"/>
      <dgm:spPr/>
    </dgm:pt>
    <dgm:pt modelId="{604EDBB0-65A2-41BA-8B10-DDFC0045C7B2}" type="pres">
      <dgm:prSet presAssocID="{E4559B33-37AC-46DA-B60C-402722A6CB5D}" presName="root2" presStyleCnt="0"/>
      <dgm:spPr/>
    </dgm:pt>
    <dgm:pt modelId="{A83F07E8-7D51-4CCA-AA44-489D1B6A0D9F}" type="pres">
      <dgm:prSet presAssocID="{E4559B33-37AC-46DA-B60C-402722A6CB5D}" presName="LevelTwoTextNode" presStyleLbl="node2" presStyleIdx="4" presStyleCnt="9" custScaleX="375584" custScaleY="99922">
        <dgm:presLayoutVars>
          <dgm:chPref val="3"/>
        </dgm:presLayoutVars>
      </dgm:prSet>
      <dgm:spPr/>
    </dgm:pt>
    <dgm:pt modelId="{A0C5E21D-A67C-4784-9B50-A6F6E440A5FD}" type="pres">
      <dgm:prSet presAssocID="{E4559B33-37AC-46DA-B60C-402722A6CB5D}" presName="level3hierChild" presStyleCnt="0"/>
      <dgm:spPr/>
    </dgm:pt>
    <dgm:pt modelId="{034288A1-CF67-4B6D-BD58-10F90172DB60}" type="pres">
      <dgm:prSet presAssocID="{282B3114-94A5-4370-9C46-159512953BA1}" presName="conn2-1" presStyleLbl="parChTrans1D2" presStyleIdx="5" presStyleCnt="9"/>
      <dgm:spPr/>
    </dgm:pt>
    <dgm:pt modelId="{61D3E599-BA26-4512-886F-D789C2904B1B}" type="pres">
      <dgm:prSet presAssocID="{282B3114-94A5-4370-9C46-159512953BA1}" presName="connTx" presStyleLbl="parChTrans1D2" presStyleIdx="5" presStyleCnt="9"/>
      <dgm:spPr/>
    </dgm:pt>
    <dgm:pt modelId="{E1575581-6FF2-4F70-9BC0-0B0F1092CA0B}" type="pres">
      <dgm:prSet presAssocID="{39FB7882-DCC9-4FCF-A36F-A3E8F0CA5697}" presName="root2" presStyleCnt="0"/>
      <dgm:spPr/>
    </dgm:pt>
    <dgm:pt modelId="{4BCD4D38-4A0E-4CAD-BA64-CBC91C6F3F9B}" type="pres">
      <dgm:prSet presAssocID="{39FB7882-DCC9-4FCF-A36F-A3E8F0CA5697}" presName="LevelTwoTextNode" presStyleLbl="node2" presStyleIdx="5" presStyleCnt="9" custScaleX="375584" custScaleY="99922">
        <dgm:presLayoutVars>
          <dgm:chPref val="3"/>
        </dgm:presLayoutVars>
      </dgm:prSet>
      <dgm:spPr/>
    </dgm:pt>
    <dgm:pt modelId="{8457F189-2F42-4665-BD3E-EF8D81AA2A50}" type="pres">
      <dgm:prSet presAssocID="{39FB7882-DCC9-4FCF-A36F-A3E8F0CA5697}" presName="level3hierChild" presStyleCnt="0"/>
      <dgm:spPr/>
    </dgm:pt>
    <dgm:pt modelId="{26B30D4A-F8EE-4439-9C42-173699A62046}" type="pres">
      <dgm:prSet presAssocID="{0E30B726-2CEA-4D78-AB37-3974886B415B}" presName="conn2-1" presStyleLbl="parChTrans1D2" presStyleIdx="6" presStyleCnt="9"/>
      <dgm:spPr/>
    </dgm:pt>
    <dgm:pt modelId="{B1E0F3F0-F5CB-43E1-9621-76A907EFF8A8}" type="pres">
      <dgm:prSet presAssocID="{0E30B726-2CEA-4D78-AB37-3974886B415B}" presName="connTx" presStyleLbl="parChTrans1D2" presStyleIdx="6" presStyleCnt="9"/>
      <dgm:spPr/>
    </dgm:pt>
    <dgm:pt modelId="{7D47C076-135E-4F87-8F93-E59AEEB4E4C4}" type="pres">
      <dgm:prSet presAssocID="{0CF74162-86FB-48A2-BA5C-73A3C779AC18}" presName="root2" presStyleCnt="0"/>
      <dgm:spPr/>
    </dgm:pt>
    <dgm:pt modelId="{085AD1C7-FD60-4184-924D-6905A6651FAC}" type="pres">
      <dgm:prSet presAssocID="{0CF74162-86FB-48A2-BA5C-73A3C779AC18}" presName="LevelTwoTextNode" presStyleLbl="node2" presStyleIdx="6" presStyleCnt="9" custScaleX="375584" custScaleY="99922">
        <dgm:presLayoutVars>
          <dgm:chPref val="3"/>
        </dgm:presLayoutVars>
      </dgm:prSet>
      <dgm:spPr/>
    </dgm:pt>
    <dgm:pt modelId="{7C2CFB40-E147-494B-8EBF-8E4A6D6812A1}" type="pres">
      <dgm:prSet presAssocID="{0CF74162-86FB-48A2-BA5C-73A3C779AC18}" presName="level3hierChild" presStyleCnt="0"/>
      <dgm:spPr/>
    </dgm:pt>
    <dgm:pt modelId="{F6868F94-7258-4F1A-AC37-52557249D173}" type="pres">
      <dgm:prSet presAssocID="{939B8C83-899E-472D-9586-891D39988E01}" presName="conn2-1" presStyleLbl="parChTrans1D2" presStyleIdx="7" presStyleCnt="9"/>
      <dgm:spPr/>
    </dgm:pt>
    <dgm:pt modelId="{E97D5A17-0CAA-4A4F-B904-9DE9547773FA}" type="pres">
      <dgm:prSet presAssocID="{939B8C83-899E-472D-9586-891D39988E01}" presName="connTx" presStyleLbl="parChTrans1D2" presStyleIdx="7" presStyleCnt="9"/>
      <dgm:spPr/>
    </dgm:pt>
    <dgm:pt modelId="{07F3DE21-5D91-49EA-8609-C00253658883}" type="pres">
      <dgm:prSet presAssocID="{DBED153D-B1B4-47D8-983A-FD778F963447}" presName="root2" presStyleCnt="0"/>
      <dgm:spPr/>
    </dgm:pt>
    <dgm:pt modelId="{9F77485E-58E8-44E0-992B-3771621603D8}" type="pres">
      <dgm:prSet presAssocID="{DBED153D-B1B4-47D8-983A-FD778F963447}" presName="LevelTwoTextNode" presStyleLbl="node2" presStyleIdx="7" presStyleCnt="9" custScaleX="375584" custScaleY="99922">
        <dgm:presLayoutVars>
          <dgm:chPref val="3"/>
        </dgm:presLayoutVars>
      </dgm:prSet>
      <dgm:spPr/>
    </dgm:pt>
    <dgm:pt modelId="{7AC17179-457B-43EB-B315-D4527CC38B09}" type="pres">
      <dgm:prSet presAssocID="{DBED153D-B1B4-47D8-983A-FD778F963447}" presName="level3hierChild" presStyleCnt="0"/>
      <dgm:spPr/>
    </dgm:pt>
    <dgm:pt modelId="{38972CC5-45E2-48B5-AB35-C2E7B664174B}" type="pres">
      <dgm:prSet presAssocID="{48A0A478-6718-4052-9153-E65CA892A86C}" presName="conn2-1" presStyleLbl="parChTrans1D2" presStyleIdx="8" presStyleCnt="9"/>
      <dgm:spPr/>
    </dgm:pt>
    <dgm:pt modelId="{BC398522-8970-49B8-9536-D0A72FCF3AA0}" type="pres">
      <dgm:prSet presAssocID="{48A0A478-6718-4052-9153-E65CA892A86C}" presName="connTx" presStyleLbl="parChTrans1D2" presStyleIdx="8" presStyleCnt="9"/>
      <dgm:spPr/>
    </dgm:pt>
    <dgm:pt modelId="{286416F4-C2D6-46DB-A3D1-D55C76D8838D}" type="pres">
      <dgm:prSet presAssocID="{F0D3964E-7EA7-41EC-9D29-EB7E1D55A47D}" presName="root2" presStyleCnt="0"/>
      <dgm:spPr/>
    </dgm:pt>
    <dgm:pt modelId="{BF376618-4916-457E-889E-CC20C7FF38BD}" type="pres">
      <dgm:prSet presAssocID="{F0D3964E-7EA7-41EC-9D29-EB7E1D55A47D}" presName="LevelTwoTextNode" presStyleLbl="node2" presStyleIdx="8" presStyleCnt="9" custScaleX="375584" custScaleY="99922">
        <dgm:presLayoutVars>
          <dgm:chPref val="3"/>
        </dgm:presLayoutVars>
      </dgm:prSet>
      <dgm:spPr/>
    </dgm:pt>
    <dgm:pt modelId="{9654DC14-47FA-4C8F-9CA3-20142751A445}" type="pres">
      <dgm:prSet presAssocID="{F0D3964E-7EA7-41EC-9D29-EB7E1D55A47D}" presName="level3hierChild" presStyleCnt="0"/>
      <dgm:spPr/>
    </dgm:pt>
  </dgm:ptLst>
  <dgm:cxnLst>
    <dgm:cxn modelId="{0574EC00-9539-4CB2-8FCC-45F948C330A8}" srcId="{19D137FA-9595-4C20-8194-7BC3FECBC740}" destId="{138F1A40-8DE8-43A2-9591-44427AA5F3D1}" srcOrd="0" destOrd="0" parTransId="{BA7714D5-E65C-4656-AB41-310536621DA0}" sibTransId="{981FA953-6B89-481C-A92A-E9ED7EC24B5D}"/>
    <dgm:cxn modelId="{43CA6405-51B4-4F45-A88D-E04E181465CD}" srcId="{138F1A40-8DE8-43A2-9591-44427AA5F3D1}" destId="{0CF74162-86FB-48A2-BA5C-73A3C779AC18}" srcOrd="6" destOrd="0" parTransId="{0E30B726-2CEA-4D78-AB37-3974886B415B}" sibTransId="{2974BC59-6124-411C-B73B-7FFB93B36D89}"/>
    <dgm:cxn modelId="{7DF9080E-CDF9-41A1-97B2-8D9C8FE7A6A4}" type="presOf" srcId="{138F1A40-8DE8-43A2-9591-44427AA5F3D1}" destId="{648B4E42-D252-4133-8ECC-C4D4378DFAD7}" srcOrd="0" destOrd="0" presId="urn:microsoft.com/office/officeart/2008/layout/HorizontalMultiLevelHierarchy"/>
    <dgm:cxn modelId="{587CA80F-7F87-48B2-81DB-C4F060995846}" type="presOf" srcId="{2E7F535F-4906-4548-A079-25F40FA60C6D}" destId="{EA554AA7-B0F3-45F2-8C06-41A772DEDCD4}" srcOrd="0" destOrd="0" presId="urn:microsoft.com/office/officeart/2008/layout/HorizontalMultiLevelHierarchy"/>
    <dgm:cxn modelId="{12CADA13-F12B-4767-98A6-67504806B262}" type="presOf" srcId="{282B3114-94A5-4370-9C46-159512953BA1}" destId="{034288A1-CF67-4B6D-BD58-10F90172DB60}" srcOrd="0" destOrd="0" presId="urn:microsoft.com/office/officeart/2008/layout/HorizontalMultiLevelHierarchy"/>
    <dgm:cxn modelId="{784D7A16-61A1-4565-AC5A-A8E66E274D51}" type="presOf" srcId="{13AB5AA0-B6C3-4586-BA36-300470405F63}" destId="{E245BFCF-7B24-4A3E-A51D-FEBB725B4CDD}" srcOrd="0" destOrd="0" presId="urn:microsoft.com/office/officeart/2008/layout/HorizontalMultiLevelHierarchy"/>
    <dgm:cxn modelId="{1745311A-5317-48F0-AB65-EEBF88A99241}" srcId="{138F1A40-8DE8-43A2-9591-44427AA5F3D1}" destId="{75DCEEBA-4FE7-4A75-9CDD-D9AC7D4C292E}" srcOrd="1" destOrd="0" parTransId="{AF52A372-6A1E-430D-91BA-801610934540}" sibTransId="{D3BA887D-9FF9-47AB-8E2E-C423793FF14F}"/>
    <dgm:cxn modelId="{D127C31D-AB26-44EB-A874-45169C93B412}" type="presOf" srcId="{282B3114-94A5-4370-9C46-159512953BA1}" destId="{61D3E599-BA26-4512-886F-D789C2904B1B}" srcOrd="1" destOrd="0" presId="urn:microsoft.com/office/officeart/2008/layout/HorizontalMultiLevelHierarchy"/>
    <dgm:cxn modelId="{1088361E-3C26-4CC4-836D-DD269C6A28BA}" srcId="{138F1A40-8DE8-43A2-9591-44427AA5F3D1}" destId="{13AB5AA0-B6C3-4586-BA36-300470405F63}" srcOrd="3" destOrd="0" parTransId="{D766FD67-22A6-4CC3-A4C8-62440C271A49}" sibTransId="{ED3501F7-9719-42AB-8442-33CF810893E1}"/>
    <dgm:cxn modelId="{23B9A824-D49B-4E72-A72F-94B3BA43933B}" type="presOf" srcId="{39FB7882-DCC9-4FCF-A36F-A3E8F0CA5697}" destId="{4BCD4D38-4A0E-4CAD-BA64-CBC91C6F3F9B}" srcOrd="0" destOrd="0" presId="urn:microsoft.com/office/officeart/2008/layout/HorizontalMultiLevelHierarchy"/>
    <dgm:cxn modelId="{368F802D-60B8-41A2-A2C9-881CC1257FA9}" type="presOf" srcId="{D766FD67-22A6-4CC3-A4C8-62440C271A49}" destId="{3681AE75-1935-46BC-9663-CC6AD3CA2C06}" srcOrd="0" destOrd="0" presId="urn:microsoft.com/office/officeart/2008/layout/HorizontalMultiLevelHierarchy"/>
    <dgm:cxn modelId="{9161D22E-DE61-43E9-AF48-3DD387669B79}" type="presOf" srcId="{B4AFC5F9-8EAC-4DE7-AE48-BAFD6A4B3C9E}" destId="{24D947E0-79C0-4E2F-902C-A9AFFC1A0BF6}" srcOrd="1" destOrd="0" presId="urn:microsoft.com/office/officeart/2008/layout/HorizontalMultiLevelHierarchy"/>
    <dgm:cxn modelId="{0F244740-E777-4297-ACCC-E564965412EC}" type="presOf" srcId="{0E30B726-2CEA-4D78-AB37-3974886B415B}" destId="{B1E0F3F0-F5CB-43E1-9621-76A907EFF8A8}" srcOrd="1" destOrd="0" presId="urn:microsoft.com/office/officeart/2008/layout/HorizontalMultiLevelHierarchy"/>
    <dgm:cxn modelId="{C19A7544-9A07-4326-8DBF-4FAEC06B48D6}" type="presOf" srcId="{BC07EEE7-EF1A-4AAC-83E1-8B2DB9012BAF}" destId="{C08F7D35-BABD-4806-832E-7A041910A189}" srcOrd="1" destOrd="0" presId="urn:microsoft.com/office/officeart/2008/layout/HorizontalMultiLevelHierarchy"/>
    <dgm:cxn modelId="{29717365-F269-4822-8F8D-8A0055067590}" srcId="{138F1A40-8DE8-43A2-9591-44427AA5F3D1}" destId="{F0D3964E-7EA7-41EC-9D29-EB7E1D55A47D}" srcOrd="8" destOrd="0" parTransId="{48A0A478-6718-4052-9153-E65CA892A86C}" sibTransId="{3E23A33B-CB31-4218-AB88-417A46F92199}"/>
    <dgm:cxn modelId="{F4DDD068-627E-4699-AB9E-A507A0A0521E}" type="presOf" srcId="{48A0A478-6718-4052-9153-E65CA892A86C}" destId="{38972CC5-45E2-48B5-AB35-C2E7B664174B}" srcOrd="0" destOrd="0" presId="urn:microsoft.com/office/officeart/2008/layout/HorizontalMultiLevelHierarchy"/>
    <dgm:cxn modelId="{04D8206A-DFB5-4F3F-924B-667DC8BF9D3B}" type="presOf" srcId="{0E30B726-2CEA-4D78-AB37-3974886B415B}" destId="{26B30D4A-F8EE-4439-9C42-173699A62046}" srcOrd="0" destOrd="0" presId="urn:microsoft.com/office/officeart/2008/layout/HorizontalMultiLevelHierarchy"/>
    <dgm:cxn modelId="{089D706A-5BEA-4CC1-9879-F9C642C81205}" type="presOf" srcId="{AF52A372-6A1E-430D-91BA-801610934540}" destId="{AAACF2B5-B817-4377-96EC-10B411A21D37}" srcOrd="1" destOrd="0" presId="urn:microsoft.com/office/officeart/2008/layout/HorizontalMultiLevelHierarchy"/>
    <dgm:cxn modelId="{C25EE44C-CA1D-4599-A45A-8EE63CCBB8DA}" type="presOf" srcId="{B4AFC5F9-8EAC-4DE7-AE48-BAFD6A4B3C9E}" destId="{161EEE6B-ADD0-4BAD-8322-ACB6ADB5C747}" srcOrd="0" destOrd="0" presId="urn:microsoft.com/office/officeart/2008/layout/HorizontalMultiLevelHierarchy"/>
    <dgm:cxn modelId="{004BEC4E-0CF6-4203-B364-BC7F9664770F}" type="presOf" srcId="{DBED153D-B1B4-47D8-983A-FD778F963447}" destId="{9F77485E-58E8-44E0-992B-3771621603D8}" srcOrd="0" destOrd="0" presId="urn:microsoft.com/office/officeart/2008/layout/HorizontalMultiLevelHierarchy"/>
    <dgm:cxn modelId="{E7D0ED50-AAD7-433F-896D-EC95669CB944}" srcId="{138F1A40-8DE8-43A2-9591-44427AA5F3D1}" destId="{DBED153D-B1B4-47D8-983A-FD778F963447}" srcOrd="7" destOrd="0" parTransId="{939B8C83-899E-472D-9586-891D39988E01}" sibTransId="{D20D52C5-5896-49DC-8036-806E2D37C49B}"/>
    <dgm:cxn modelId="{F526F970-2281-44AF-BD8F-CE2F8D3EECC9}" type="presOf" srcId="{939B8C83-899E-472D-9586-891D39988E01}" destId="{F6868F94-7258-4F1A-AC37-52557249D173}" srcOrd="0" destOrd="0" presId="urn:microsoft.com/office/officeart/2008/layout/HorizontalMultiLevelHierarchy"/>
    <dgm:cxn modelId="{7A9BF073-776B-4612-B06A-C792A791923D}" srcId="{138F1A40-8DE8-43A2-9591-44427AA5F3D1}" destId="{39FB7882-DCC9-4FCF-A36F-A3E8F0CA5697}" srcOrd="5" destOrd="0" parTransId="{282B3114-94A5-4370-9C46-159512953BA1}" sibTransId="{A7D3D5F5-72B9-4342-815A-0A537804FC52}"/>
    <dgm:cxn modelId="{E8A8FF7C-C26D-4E29-9A4E-8384A6A03ED2}" type="presOf" srcId="{48A0A478-6718-4052-9153-E65CA892A86C}" destId="{BC398522-8970-49B8-9536-D0A72FCF3AA0}" srcOrd="1" destOrd="0" presId="urn:microsoft.com/office/officeart/2008/layout/HorizontalMultiLevelHierarchy"/>
    <dgm:cxn modelId="{DDE7ED90-C7D8-475B-AD7B-D56A2D14ED51}" type="presOf" srcId="{75DCEEBA-4FE7-4A75-9CDD-D9AC7D4C292E}" destId="{6391F601-023A-4F36-BE6E-FF9F3315C30D}" srcOrd="0" destOrd="0" presId="urn:microsoft.com/office/officeart/2008/layout/HorizontalMultiLevelHierarchy"/>
    <dgm:cxn modelId="{F80D3EB1-75AB-41CF-9E9A-F0ABE304DA5A}" type="presOf" srcId="{AF52A372-6A1E-430D-91BA-801610934540}" destId="{8DBF6A69-B178-45D4-BBAD-DE44B71FACD5}" srcOrd="0" destOrd="0" presId="urn:microsoft.com/office/officeart/2008/layout/HorizontalMultiLevelHierarchy"/>
    <dgm:cxn modelId="{5CB865B5-DFC9-4913-B9E0-FB1FBDA6EB34}" type="presOf" srcId="{D766FD67-22A6-4CC3-A4C8-62440C271A49}" destId="{1495324C-27DD-44F5-9977-E6E1F92104BB}" srcOrd="1" destOrd="0" presId="urn:microsoft.com/office/officeart/2008/layout/HorizontalMultiLevelHierarchy"/>
    <dgm:cxn modelId="{7EB02CBF-9266-4567-B5AF-FD4829704D9E}" type="presOf" srcId="{E4559B33-37AC-46DA-B60C-402722A6CB5D}" destId="{A83F07E8-7D51-4CCA-AA44-489D1B6A0D9F}" srcOrd="0" destOrd="0" presId="urn:microsoft.com/office/officeart/2008/layout/HorizontalMultiLevelHierarchy"/>
    <dgm:cxn modelId="{529F06CB-9A79-41F7-AB91-8E7FF4E2ABEC}" srcId="{138F1A40-8DE8-43A2-9591-44427AA5F3D1}" destId="{3C9C94D3-36BB-4E3C-AD3F-8892251141E3}" srcOrd="0" destOrd="0" parTransId="{B4AFC5F9-8EAC-4DE7-AE48-BAFD6A4B3C9E}" sibTransId="{6C5CADAD-6FAE-439E-B4BC-301DDDA61E16}"/>
    <dgm:cxn modelId="{0DB3B4CC-41E7-4490-AF8E-8A2A14423483}" type="presOf" srcId="{801296D3-15B5-415E-A0ED-2333341F4585}" destId="{A9727E45-2F78-4431-9A5C-103A1FFFFCF7}" srcOrd="0" destOrd="0" presId="urn:microsoft.com/office/officeart/2008/layout/HorizontalMultiLevelHierarchy"/>
    <dgm:cxn modelId="{EAABEDCE-EF9F-4282-96D7-74C183B7394C}" srcId="{138F1A40-8DE8-43A2-9591-44427AA5F3D1}" destId="{801296D3-15B5-415E-A0ED-2333341F4585}" srcOrd="2" destOrd="0" parTransId="{BC07EEE7-EF1A-4AAC-83E1-8B2DB9012BAF}" sibTransId="{0180CD13-5C95-4497-9B33-F2EACFF25F18}"/>
    <dgm:cxn modelId="{BE2098D6-5C63-4618-8CCE-6BA5F5A7D45D}" srcId="{138F1A40-8DE8-43A2-9591-44427AA5F3D1}" destId="{E4559B33-37AC-46DA-B60C-402722A6CB5D}" srcOrd="4" destOrd="0" parTransId="{2E7F535F-4906-4548-A079-25F40FA60C6D}" sibTransId="{6F7CFC9E-6E3E-4FE3-BE8B-14321C1C7216}"/>
    <dgm:cxn modelId="{31FCE8DA-2B9C-4034-98DC-B172A4D86CCA}" type="presOf" srcId="{0CF74162-86FB-48A2-BA5C-73A3C779AC18}" destId="{085AD1C7-FD60-4184-924D-6905A6651FAC}" srcOrd="0" destOrd="0" presId="urn:microsoft.com/office/officeart/2008/layout/HorizontalMultiLevelHierarchy"/>
    <dgm:cxn modelId="{2D85EEEE-0207-4589-9EF6-86158122A813}" type="presOf" srcId="{BC07EEE7-EF1A-4AAC-83E1-8B2DB9012BAF}" destId="{40C61001-ECBA-4B3F-B088-BD50A46B4547}" srcOrd="0" destOrd="0" presId="urn:microsoft.com/office/officeart/2008/layout/HorizontalMultiLevelHierarchy"/>
    <dgm:cxn modelId="{EF2821F4-02E5-45D7-A037-1D023E8E19AB}" type="presOf" srcId="{2E7F535F-4906-4548-A079-25F40FA60C6D}" destId="{6AE95637-BB77-49D5-B592-4EC8ABA1602D}" srcOrd="1" destOrd="0" presId="urn:microsoft.com/office/officeart/2008/layout/HorizontalMultiLevelHierarchy"/>
    <dgm:cxn modelId="{74CF10F6-9DFA-4E9C-B2D2-4E03C6A500C5}" type="presOf" srcId="{19D137FA-9595-4C20-8194-7BC3FECBC740}" destId="{0CC01E67-2754-4B15-9E71-E8243C434EA6}" srcOrd="0" destOrd="0" presId="urn:microsoft.com/office/officeart/2008/layout/HorizontalMultiLevelHierarchy"/>
    <dgm:cxn modelId="{24DA73F6-9888-41B6-B704-AA3A95439328}" type="presOf" srcId="{939B8C83-899E-472D-9586-891D39988E01}" destId="{E97D5A17-0CAA-4A4F-B904-9DE9547773FA}" srcOrd="1" destOrd="0" presId="urn:microsoft.com/office/officeart/2008/layout/HorizontalMultiLevelHierarchy"/>
    <dgm:cxn modelId="{669E37F9-73D8-447E-8701-F1854BA9B3B9}" type="presOf" srcId="{3C9C94D3-36BB-4E3C-AD3F-8892251141E3}" destId="{F48AE834-2ECA-4B15-B0C7-C87C66F6AA19}" srcOrd="0" destOrd="0" presId="urn:microsoft.com/office/officeart/2008/layout/HorizontalMultiLevelHierarchy"/>
    <dgm:cxn modelId="{9F93C6FF-9B29-4C48-8187-9EC2A4EBD35E}" type="presOf" srcId="{F0D3964E-7EA7-41EC-9D29-EB7E1D55A47D}" destId="{BF376618-4916-457E-889E-CC20C7FF38BD}" srcOrd="0" destOrd="0" presId="urn:microsoft.com/office/officeart/2008/layout/HorizontalMultiLevelHierarchy"/>
    <dgm:cxn modelId="{A9282236-6558-4FD8-B65D-972EC438A350}" type="presParOf" srcId="{0CC01E67-2754-4B15-9E71-E8243C434EA6}" destId="{7C2B8EAE-8761-49A1-86B4-B5723A1A2AC9}" srcOrd="0" destOrd="0" presId="urn:microsoft.com/office/officeart/2008/layout/HorizontalMultiLevelHierarchy"/>
    <dgm:cxn modelId="{2AEC517D-226E-4BF8-9861-85E46F701C1A}" type="presParOf" srcId="{7C2B8EAE-8761-49A1-86B4-B5723A1A2AC9}" destId="{648B4E42-D252-4133-8ECC-C4D4378DFAD7}" srcOrd="0" destOrd="0" presId="urn:microsoft.com/office/officeart/2008/layout/HorizontalMultiLevelHierarchy"/>
    <dgm:cxn modelId="{E47A3BF4-BFD3-4C56-A5F1-EF9C469B7B21}" type="presParOf" srcId="{7C2B8EAE-8761-49A1-86B4-B5723A1A2AC9}" destId="{0C88F086-B7B6-49EF-A37F-A92AEFDE1A7C}" srcOrd="1" destOrd="0" presId="urn:microsoft.com/office/officeart/2008/layout/HorizontalMultiLevelHierarchy"/>
    <dgm:cxn modelId="{7952DA00-B518-4B8F-B361-669FF1673A91}" type="presParOf" srcId="{0C88F086-B7B6-49EF-A37F-A92AEFDE1A7C}" destId="{161EEE6B-ADD0-4BAD-8322-ACB6ADB5C747}" srcOrd="0" destOrd="0" presId="urn:microsoft.com/office/officeart/2008/layout/HorizontalMultiLevelHierarchy"/>
    <dgm:cxn modelId="{2B1584C0-663B-447F-AE5A-4BB9D26B8168}" type="presParOf" srcId="{161EEE6B-ADD0-4BAD-8322-ACB6ADB5C747}" destId="{24D947E0-79C0-4E2F-902C-A9AFFC1A0BF6}" srcOrd="0" destOrd="0" presId="urn:microsoft.com/office/officeart/2008/layout/HorizontalMultiLevelHierarchy"/>
    <dgm:cxn modelId="{F08EC682-61C6-43FC-81E9-2F32B41B403E}" type="presParOf" srcId="{0C88F086-B7B6-49EF-A37F-A92AEFDE1A7C}" destId="{74FCB8BD-6A72-4127-83D8-71493789F5A0}" srcOrd="1" destOrd="0" presId="urn:microsoft.com/office/officeart/2008/layout/HorizontalMultiLevelHierarchy"/>
    <dgm:cxn modelId="{5D4883B7-1ACF-43C2-8C9A-8EE76B9BAD65}" type="presParOf" srcId="{74FCB8BD-6A72-4127-83D8-71493789F5A0}" destId="{F48AE834-2ECA-4B15-B0C7-C87C66F6AA19}" srcOrd="0" destOrd="0" presId="urn:microsoft.com/office/officeart/2008/layout/HorizontalMultiLevelHierarchy"/>
    <dgm:cxn modelId="{C524D2D7-8030-4C1A-9652-19843B2E25EA}" type="presParOf" srcId="{74FCB8BD-6A72-4127-83D8-71493789F5A0}" destId="{647E3F07-34B1-4D3F-88AF-DE09F5842867}" srcOrd="1" destOrd="0" presId="urn:microsoft.com/office/officeart/2008/layout/HorizontalMultiLevelHierarchy"/>
    <dgm:cxn modelId="{E9B6AA88-01F4-47A0-9AFB-F5C9ED7F6DCC}" type="presParOf" srcId="{0C88F086-B7B6-49EF-A37F-A92AEFDE1A7C}" destId="{8DBF6A69-B178-45D4-BBAD-DE44B71FACD5}" srcOrd="2" destOrd="0" presId="urn:microsoft.com/office/officeart/2008/layout/HorizontalMultiLevelHierarchy"/>
    <dgm:cxn modelId="{66D5C32C-C242-4D72-B9AE-EA2769346735}" type="presParOf" srcId="{8DBF6A69-B178-45D4-BBAD-DE44B71FACD5}" destId="{AAACF2B5-B817-4377-96EC-10B411A21D37}" srcOrd="0" destOrd="0" presId="urn:microsoft.com/office/officeart/2008/layout/HorizontalMultiLevelHierarchy"/>
    <dgm:cxn modelId="{BC43C915-4E27-4989-8765-7DD2267BC516}" type="presParOf" srcId="{0C88F086-B7B6-49EF-A37F-A92AEFDE1A7C}" destId="{AC98620D-7BC6-4A2B-B34C-40A217814DD2}" srcOrd="3" destOrd="0" presId="urn:microsoft.com/office/officeart/2008/layout/HorizontalMultiLevelHierarchy"/>
    <dgm:cxn modelId="{7E9296A5-15B2-41CB-953D-466AEF95BB28}" type="presParOf" srcId="{AC98620D-7BC6-4A2B-B34C-40A217814DD2}" destId="{6391F601-023A-4F36-BE6E-FF9F3315C30D}" srcOrd="0" destOrd="0" presId="urn:microsoft.com/office/officeart/2008/layout/HorizontalMultiLevelHierarchy"/>
    <dgm:cxn modelId="{4F09E5A6-2BA2-401B-84E9-29A8D7702536}" type="presParOf" srcId="{AC98620D-7BC6-4A2B-B34C-40A217814DD2}" destId="{73915959-7BFC-415F-B8E4-172FAF24486D}" srcOrd="1" destOrd="0" presId="urn:microsoft.com/office/officeart/2008/layout/HorizontalMultiLevelHierarchy"/>
    <dgm:cxn modelId="{7BB829A5-FDEF-45F3-89A9-2156E233E373}" type="presParOf" srcId="{0C88F086-B7B6-49EF-A37F-A92AEFDE1A7C}" destId="{40C61001-ECBA-4B3F-B088-BD50A46B4547}" srcOrd="4" destOrd="0" presId="urn:microsoft.com/office/officeart/2008/layout/HorizontalMultiLevelHierarchy"/>
    <dgm:cxn modelId="{9CAF73F4-C422-4F0C-805F-773E9E524A3C}" type="presParOf" srcId="{40C61001-ECBA-4B3F-B088-BD50A46B4547}" destId="{C08F7D35-BABD-4806-832E-7A041910A189}" srcOrd="0" destOrd="0" presId="urn:microsoft.com/office/officeart/2008/layout/HorizontalMultiLevelHierarchy"/>
    <dgm:cxn modelId="{94056321-60E3-4751-8AA8-03145672AFDE}" type="presParOf" srcId="{0C88F086-B7B6-49EF-A37F-A92AEFDE1A7C}" destId="{B48EF8B8-FFE8-4BCD-852D-38222C8E94AE}" srcOrd="5" destOrd="0" presId="urn:microsoft.com/office/officeart/2008/layout/HorizontalMultiLevelHierarchy"/>
    <dgm:cxn modelId="{05B4C706-C7C8-4B90-96C5-CD761DF520D2}" type="presParOf" srcId="{B48EF8B8-FFE8-4BCD-852D-38222C8E94AE}" destId="{A9727E45-2F78-4431-9A5C-103A1FFFFCF7}" srcOrd="0" destOrd="0" presId="urn:microsoft.com/office/officeart/2008/layout/HorizontalMultiLevelHierarchy"/>
    <dgm:cxn modelId="{D2B7BB45-1E6D-4B13-B447-91A89A454D6F}" type="presParOf" srcId="{B48EF8B8-FFE8-4BCD-852D-38222C8E94AE}" destId="{E59E48E6-10FB-4513-938B-DAB45EF16FE0}" srcOrd="1" destOrd="0" presId="urn:microsoft.com/office/officeart/2008/layout/HorizontalMultiLevelHierarchy"/>
    <dgm:cxn modelId="{3CCC5CFA-A25A-49DB-9773-A2DCA4B24D53}" type="presParOf" srcId="{0C88F086-B7B6-49EF-A37F-A92AEFDE1A7C}" destId="{3681AE75-1935-46BC-9663-CC6AD3CA2C06}" srcOrd="6" destOrd="0" presId="urn:microsoft.com/office/officeart/2008/layout/HorizontalMultiLevelHierarchy"/>
    <dgm:cxn modelId="{9C1EF9B8-9026-440D-B051-AC92CB98FA91}" type="presParOf" srcId="{3681AE75-1935-46BC-9663-CC6AD3CA2C06}" destId="{1495324C-27DD-44F5-9977-E6E1F92104BB}" srcOrd="0" destOrd="0" presId="urn:microsoft.com/office/officeart/2008/layout/HorizontalMultiLevelHierarchy"/>
    <dgm:cxn modelId="{5ECC5BAE-8D3C-4DA8-9D3B-504991E4D02D}" type="presParOf" srcId="{0C88F086-B7B6-49EF-A37F-A92AEFDE1A7C}" destId="{28BA2D1F-EC84-4AA2-8F7B-2BB20C1CDAE9}" srcOrd="7" destOrd="0" presId="urn:microsoft.com/office/officeart/2008/layout/HorizontalMultiLevelHierarchy"/>
    <dgm:cxn modelId="{5D18AE0D-A34F-43BF-B4ED-F943B77BD159}" type="presParOf" srcId="{28BA2D1F-EC84-4AA2-8F7B-2BB20C1CDAE9}" destId="{E245BFCF-7B24-4A3E-A51D-FEBB725B4CDD}" srcOrd="0" destOrd="0" presId="urn:microsoft.com/office/officeart/2008/layout/HorizontalMultiLevelHierarchy"/>
    <dgm:cxn modelId="{40F59BA9-EFA8-4A41-880F-E456A72612A9}" type="presParOf" srcId="{28BA2D1F-EC84-4AA2-8F7B-2BB20C1CDAE9}" destId="{2EB46020-156A-43CE-8A7B-5EB2F6EEB881}" srcOrd="1" destOrd="0" presId="urn:microsoft.com/office/officeart/2008/layout/HorizontalMultiLevelHierarchy"/>
    <dgm:cxn modelId="{2DE98905-4ED1-4589-9659-566063858F74}" type="presParOf" srcId="{0C88F086-B7B6-49EF-A37F-A92AEFDE1A7C}" destId="{EA554AA7-B0F3-45F2-8C06-41A772DEDCD4}" srcOrd="8" destOrd="0" presId="urn:microsoft.com/office/officeart/2008/layout/HorizontalMultiLevelHierarchy"/>
    <dgm:cxn modelId="{358451B3-F325-49A0-8BAE-CA11C2B6D5F5}" type="presParOf" srcId="{EA554AA7-B0F3-45F2-8C06-41A772DEDCD4}" destId="{6AE95637-BB77-49D5-B592-4EC8ABA1602D}" srcOrd="0" destOrd="0" presId="urn:microsoft.com/office/officeart/2008/layout/HorizontalMultiLevelHierarchy"/>
    <dgm:cxn modelId="{DECF99D0-8574-4E4E-B3D6-16DEF4527A74}" type="presParOf" srcId="{0C88F086-B7B6-49EF-A37F-A92AEFDE1A7C}" destId="{604EDBB0-65A2-41BA-8B10-DDFC0045C7B2}" srcOrd="9" destOrd="0" presId="urn:microsoft.com/office/officeart/2008/layout/HorizontalMultiLevelHierarchy"/>
    <dgm:cxn modelId="{20B108B8-6E43-4A4E-B5D4-CDE80247332A}" type="presParOf" srcId="{604EDBB0-65A2-41BA-8B10-DDFC0045C7B2}" destId="{A83F07E8-7D51-4CCA-AA44-489D1B6A0D9F}" srcOrd="0" destOrd="0" presId="urn:microsoft.com/office/officeart/2008/layout/HorizontalMultiLevelHierarchy"/>
    <dgm:cxn modelId="{E669B08E-D263-4C58-AF11-4532ED624556}" type="presParOf" srcId="{604EDBB0-65A2-41BA-8B10-DDFC0045C7B2}" destId="{A0C5E21D-A67C-4784-9B50-A6F6E440A5FD}" srcOrd="1" destOrd="0" presId="urn:microsoft.com/office/officeart/2008/layout/HorizontalMultiLevelHierarchy"/>
    <dgm:cxn modelId="{ABAB270F-EC30-4E87-91F6-0470A2F5DC54}" type="presParOf" srcId="{0C88F086-B7B6-49EF-A37F-A92AEFDE1A7C}" destId="{034288A1-CF67-4B6D-BD58-10F90172DB60}" srcOrd="10" destOrd="0" presId="urn:microsoft.com/office/officeart/2008/layout/HorizontalMultiLevelHierarchy"/>
    <dgm:cxn modelId="{54B0AF64-BE1F-48FC-884D-469EACAB9BEC}" type="presParOf" srcId="{034288A1-CF67-4B6D-BD58-10F90172DB60}" destId="{61D3E599-BA26-4512-886F-D789C2904B1B}" srcOrd="0" destOrd="0" presId="urn:microsoft.com/office/officeart/2008/layout/HorizontalMultiLevelHierarchy"/>
    <dgm:cxn modelId="{C8863BFA-DF1E-4DC9-A9BF-DFCD264ADACC}" type="presParOf" srcId="{0C88F086-B7B6-49EF-A37F-A92AEFDE1A7C}" destId="{E1575581-6FF2-4F70-9BC0-0B0F1092CA0B}" srcOrd="11" destOrd="0" presId="urn:microsoft.com/office/officeart/2008/layout/HorizontalMultiLevelHierarchy"/>
    <dgm:cxn modelId="{2B8CBB6F-F3C6-4AFD-971A-B7DAD3AA52CA}" type="presParOf" srcId="{E1575581-6FF2-4F70-9BC0-0B0F1092CA0B}" destId="{4BCD4D38-4A0E-4CAD-BA64-CBC91C6F3F9B}" srcOrd="0" destOrd="0" presId="urn:microsoft.com/office/officeart/2008/layout/HorizontalMultiLevelHierarchy"/>
    <dgm:cxn modelId="{AFBA0BCE-249F-45E2-94F3-027DC53F7FAD}" type="presParOf" srcId="{E1575581-6FF2-4F70-9BC0-0B0F1092CA0B}" destId="{8457F189-2F42-4665-BD3E-EF8D81AA2A50}" srcOrd="1" destOrd="0" presId="urn:microsoft.com/office/officeart/2008/layout/HorizontalMultiLevelHierarchy"/>
    <dgm:cxn modelId="{ED1FDA48-1770-4FC0-BABC-405EE0D32143}" type="presParOf" srcId="{0C88F086-B7B6-49EF-A37F-A92AEFDE1A7C}" destId="{26B30D4A-F8EE-4439-9C42-173699A62046}" srcOrd="12" destOrd="0" presId="urn:microsoft.com/office/officeart/2008/layout/HorizontalMultiLevelHierarchy"/>
    <dgm:cxn modelId="{DD3F1F8C-D2CB-44BB-B043-5B6C4C15FBF6}" type="presParOf" srcId="{26B30D4A-F8EE-4439-9C42-173699A62046}" destId="{B1E0F3F0-F5CB-43E1-9621-76A907EFF8A8}" srcOrd="0" destOrd="0" presId="urn:microsoft.com/office/officeart/2008/layout/HorizontalMultiLevelHierarchy"/>
    <dgm:cxn modelId="{4E6E17A7-4A69-4A44-82CD-FFCD39C1C079}" type="presParOf" srcId="{0C88F086-B7B6-49EF-A37F-A92AEFDE1A7C}" destId="{7D47C076-135E-4F87-8F93-E59AEEB4E4C4}" srcOrd="13" destOrd="0" presId="urn:microsoft.com/office/officeart/2008/layout/HorizontalMultiLevelHierarchy"/>
    <dgm:cxn modelId="{3FE7F1EB-528B-4348-91C7-EA624024ED87}" type="presParOf" srcId="{7D47C076-135E-4F87-8F93-E59AEEB4E4C4}" destId="{085AD1C7-FD60-4184-924D-6905A6651FAC}" srcOrd="0" destOrd="0" presId="urn:microsoft.com/office/officeart/2008/layout/HorizontalMultiLevelHierarchy"/>
    <dgm:cxn modelId="{9B22D544-5E11-4A5F-8329-BAC336B7BE0B}" type="presParOf" srcId="{7D47C076-135E-4F87-8F93-E59AEEB4E4C4}" destId="{7C2CFB40-E147-494B-8EBF-8E4A6D6812A1}" srcOrd="1" destOrd="0" presId="urn:microsoft.com/office/officeart/2008/layout/HorizontalMultiLevelHierarchy"/>
    <dgm:cxn modelId="{14950659-23FE-43F7-9052-E4A6200E91DD}" type="presParOf" srcId="{0C88F086-B7B6-49EF-A37F-A92AEFDE1A7C}" destId="{F6868F94-7258-4F1A-AC37-52557249D173}" srcOrd="14" destOrd="0" presId="urn:microsoft.com/office/officeart/2008/layout/HorizontalMultiLevelHierarchy"/>
    <dgm:cxn modelId="{B709E8EC-2AA5-4A0D-B0D5-51A1969032F0}" type="presParOf" srcId="{F6868F94-7258-4F1A-AC37-52557249D173}" destId="{E97D5A17-0CAA-4A4F-B904-9DE9547773FA}" srcOrd="0" destOrd="0" presId="urn:microsoft.com/office/officeart/2008/layout/HorizontalMultiLevelHierarchy"/>
    <dgm:cxn modelId="{D2108DE6-537F-4090-9B11-C85DB049738E}" type="presParOf" srcId="{0C88F086-B7B6-49EF-A37F-A92AEFDE1A7C}" destId="{07F3DE21-5D91-49EA-8609-C00253658883}" srcOrd="15" destOrd="0" presId="urn:microsoft.com/office/officeart/2008/layout/HorizontalMultiLevelHierarchy"/>
    <dgm:cxn modelId="{804665EF-2FC7-40B1-914D-BC95AC652B39}" type="presParOf" srcId="{07F3DE21-5D91-49EA-8609-C00253658883}" destId="{9F77485E-58E8-44E0-992B-3771621603D8}" srcOrd="0" destOrd="0" presId="urn:microsoft.com/office/officeart/2008/layout/HorizontalMultiLevelHierarchy"/>
    <dgm:cxn modelId="{0C0B1918-8082-42F9-B702-1E09185F707C}" type="presParOf" srcId="{07F3DE21-5D91-49EA-8609-C00253658883}" destId="{7AC17179-457B-43EB-B315-D4527CC38B09}" srcOrd="1" destOrd="0" presId="urn:microsoft.com/office/officeart/2008/layout/HorizontalMultiLevelHierarchy"/>
    <dgm:cxn modelId="{E3C3F126-AFB5-4540-8756-648464672CBA}" type="presParOf" srcId="{0C88F086-B7B6-49EF-A37F-A92AEFDE1A7C}" destId="{38972CC5-45E2-48B5-AB35-C2E7B664174B}" srcOrd="16" destOrd="0" presId="urn:microsoft.com/office/officeart/2008/layout/HorizontalMultiLevelHierarchy"/>
    <dgm:cxn modelId="{066D0E9D-6A3E-4308-A81A-CFD31E585882}" type="presParOf" srcId="{38972CC5-45E2-48B5-AB35-C2E7B664174B}" destId="{BC398522-8970-49B8-9536-D0A72FCF3AA0}" srcOrd="0" destOrd="0" presId="urn:microsoft.com/office/officeart/2008/layout/HorizontalMultiLevelHierarchy"/>
    <dgm:cxn modelId="{03E2C228-9E82-476D-A6A2-3098ADD9E2E3}" type="presParOf" srcId="{0C88F086-B7B6-49EF-A37F-A92AEFDE1A7C}" destId="{286416F4-C2D6-46DB-A3D1-D55C76D8838D}" srcOrd="17" destOrd="0" presId="urn:microsoft.com/office/officeart/2008/layout/HorizontalMultiLevelHierarchy"/>
    <dgm:cxn modelId="{0FDD78E4-88DF-4F7E-A300-6D262A5BA4E5}" type="presParOf" srcId="{286416F4-C2D6-46DB-A3D1-D55C76D8838D}" destId="{BF376618-4916-457E-889E-CC20C7FF38BD}" srcOrd="0" destOrd="0" presId="urn:microsoft.com/office/officeart/2008/layout/HorizontalMultiLevelHierarchy"/>
    <dgm:cxn modelId="{A644B55B-8EB4-4C42-8D7D-C3193E8C3F50}" type="presParOf" srcId="{286416F4-C2D6-46DB-A3D1-D55C76D8838D}" destId="{9654DC14-47FA-4C8F-9CA3-20142751A445}" srcOrd="1" destOrd="0" presId="urn:microsoft.com/office/officeart/2008/layout/HorizontalMultiLevelHierarchy"/>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BEA297E-9B25-4D93-B62E-C4BEB084CB04}" type="doc">
      <dgm:prSet loTypeId="urn:microsoft.com/office/officeart/2005/8/layout/cycle1" loCatId="cycle" qsTypeId="urn:microsoft.com/office/officeart/2005/8/quickstyle/simple1" qsCatId="simple" csTypeId="urn:microsoft.com/office/officeart/2005/8/colors/accent1_2" csCatId="accent1" phldr="1"/>
      <dgm:spPr/>
      <dgm:t>
        <a:bodyPr/>
        <a:lstStyle/>
        <a:p>
          <a:endParaRPr lang="en-GB"/>
        </a:p>
      </dgm:t>
    </dgm:pt>
    <dgm:pt modelId="{1EFC17F5-8E27-4BD8-B896-9759F68A957A}">
      <dgm:prSet phldrT="[Text]" custT="1"/>
      <dgm:spPr/>
      <dgm:t>
        <a:bodyPr/>
        <a:lstStyle/>
        <a:p>
          <a:pPr algn="ctr"/>
          <a:r>
            <a:rPr lang="en-GB" sz="900" b="1"/>
            <a:t>Mitigation</a:t>
          </a:r>
        </a:p>
      </dgm:t>
    </dgm:pt>
    <dgm:pt modelId="{4376D9E1-216B-4AFB-8C1D-3D11752619EC}" type="parTrans" cxnId="{0F15EC83-3DE4-46A7-8EE3-EAFE35601FFE}">
      <dgm:prSet/>
      <dgm:spPr/>
      <dgm:t>
        <a:bodyPr/>
        <a:lstStyle/>
        <a:p>
          <a:pPr algn="ctr"/>
          <a:endParaRPr lang="en-GB" sz="900" b="1"/>
        </a:p>
      </dgm:t>
    </dgm:pt>
    <dgm:pt modelId="{A24EE47B-94F8-4878-B529-977810B92582}" type="sibTrans" cxnId="{0F15EC83-3DE4-46A7-8EE3-EAFE35601FFE}">
      <dgm:prSet custT="1"/>
      <dgm:spPr/>
      <dgm:t>
        <a:bodyPr/>
        <a:lstStyle/>
        <a:p>
          <a:pPr algn="ctr"/>
          <a:endParaRPr lang="en-GB" sz="900" b="1"/>
        </a:p>
      </dgm:t>
    </dgm:pt>
    <dgm:pt modelId="{EB0626E6-4269-4355-98C3-3FA70490B456}">
      <dgm:prSet phldrT="[Text]" custT="1"/>
      <dgm:spPr/>
      <dgm:t>
        <a:bodyPr/>
        <a:lstStyle/>
        <a:p>
          <a:pPr algn="ctr"/>
          <a:r>
            <a:rPr lang="en-GB" sz="900" b="1"/>
            <a:t>Transfer</a:t>
          </a:r>
        </a:p>
      </dgm:t>
    </dgm:pt>
    <dgm:pt modelId="{7A8EE0C7-F6FE-4DD9-835F-F229F9D21C93}" type="parTrans" cxnId="{C73DE404-6035-47F2-A21A-BFBCBFCA8DE8}">
      <dgm:prSet/>
      <dgm:spPr/>
      <dgm:t>
        <a:bodyPr/>
        <a:lstStyle/>
        <a:p>
          <a:pPr algn="ctr"/>
          <a:endParaRPr lang="en-GB" sz="900" b="1"/>
        </a:p>
      </dgm:t>
    </dgm:pt>
    <dgm:pt modelId="{6BE83AA4-0438-4C79-B568-8DC6F10AD5F0}" type="sibTrans" cxnId="{C73DE404-6035-47F2-A21A-BFBCBFCA8DE8}">
      <dgm:prSet custT="1"/>
      <dgm:spPr/>
      <dgm:t>
        <a:bodyPr/>
        <a:lstStyle/>
        <a:p>
          <a:pPr algn="ctr"/>
          <a:endParaRPr lang="en-GB" sz="900" b="1"/>
        </a:p>
      </dgm:t>
    </dgm:pt>
    <dgm:pt modelId="{58903B10-B27F-4824-868F-EB7CE1F1AF0D}">
      <dgm:prSet phldrT="[Text]" custT="1"/>
      <dgm:spPr/>
      <dgm:t>
        <a:bodyPr/>
        <a:lstStyle/>
        <a:p>
          <a:pPr algn="ctr"/>
          <a:r>
            <a:rPr lang="en-GB" sz="900" b="1"/>
            <a:t>Acceptance</a:t>
          </a:r>
        </a:p>
      </dgm:t>
    </dgm:pt>
    <dgm:pt modelId="{92859F9D-11C4-4649-9E85-7C12BC6482FD}" type="parTrans" cxnId="{9B510270-1964-45C5-9469-98CB72BD1706}">
      <dgm:prSet/>
      <dgm:spPr/>
      <dgm:t>
        <a:bodyPr/>
        <a:lstStyle/>
        <a:p>
          <a:pPr algn="ctr"/>
          <a:endParaRPr lang="en-GB" sz="900" b="1"/>
        </a:p>
      </dgm:t>
    </dgm:pt>
    <dgm:pt modelId="{848C0B14-5583-401D-AA28-3BA046EAE2FC}" type="sibTrans" cxnId="{9B510270-1964-45C5-9469-98CB72BD1706}">
      <dgm:prSet custT="1"/>
      <dgm:spPr/>
      <dgm:t>
        <a:bodyPr/>
        <a:lstStyle/>
        <a:p>
          <a:pPr algn="ctr"/>
          <a:endParaRPr lang="en-GB" sz="900" b="1"/>
        </a:p>
      </dgm:t>
    </dgm:pt>
    <dgm:pt modelId="{0A4241A5-A26D-4E3D-BAE8-F492458A49D7}">
      <dgm:prSet phldrT="[Text]" custT="1"/>
      <dgm:spPr/>
      <dgm:t>
        <a:bodyPr/>
        <a:lstStyle/>
        <a:p>
          <a:pPr algn="ctr"/>
          <a:r>
            <a:rPr lang="en-GB" sz="900" b="1"/>
            <a:t>Contingency</a:t>
          </a:r>
        </a:p>
      </dgm:t>
    </dgm:pt>
    <dgm:pt modelId="{332335D5-2650-48D9-A649-CC80CFA683A1}" type="parTrans" cxnId="{D68114F3-FB06-426E-BB3B-87DECDD00FA0}">
      <dgm:prSet/>
      <dgm:spPr/>
      <dgm:t>
        <a:bodyPr/>
        <a:lstStyle/>
        <a:p>
          <a:pPr algn="ctr"/>
          <a:endParaRPr lang="en-GB" sz="900" b="1"/>
        </a:p>
      </dgm:t>
    </dgm:pt>
    <dgm:pt modelId="{FA81231E-354E-4773-9437-2264367EF23B}" type="sibTrans" cxnId="{D68114F3-FB06-426E-BB3B-87DECDD00FA0}">
      <dgm:prSet custT="1"/>
      <dgm:spPr/>
      <dgm:t>
        <a:bodyPr/>
        <a:lstStyle/>
        <a:p>
          <a:pPr algn="ctr"/>
          <a:endParaRPr lang="en-GB" sz="900" b="1"/>
        </a:p>
      </dgm:t>
    </dgm:pt>
    <dgm:pt modelId="{D2BBB657-F450-4371-BF3B-E573165843A2}">
      <dgm:prSet phldrT="[Text]" custT="1"/>
      <dgm:spPr/>
      <dgm:t>
        <a:bodyPr/>
        <a:lstStyle/>
        <a:p>
          <a:pPr algn="ctr"/>
          <a:r>
            <a:rPr lang="en-GB" sz="900" b="1"/>
            <a:t>Opportunity</a:t>
          </a:r>
        </a:p>
      </dgm:t>
    </dgm:pt>
    <dgm:pt modelId="{06ABAE41-CDAA-4F40-A120-5780C92F44F2}" type="parTrans" cxnId="{F473B37D-5561-4F52-85ED-838FDAA6962B}">
      <dgm:prSet/>
      <dgm:spPr/>
      <dgm:t>
        <a:bodyPr/>
        <a:lstStyle/>
        <a:p>
          <a:pPr algn="ctr"/>
          <a:endParaRPr lang="en-GB" sz="900" b="1"/>
        </a:p>
      </dgm:t>
    </dgm:pt>
    <dgm:pt modelId="{01F6F59D-3EBB-4035-8EA3-7C6E303F75A1}" type="sibTrans" cxnId="{F473B37D-5561-4F52-85ED-838FDAA6962B}">
      <dgm:prSet custT="1"/>
      <dgm:spPr/>
      <dgm:t>
        <a:bodyPr/>
        <a:lstStyle/>
        <a:p>
          <a:pPr algn="ctr"/>
          <a:endParaRPr lang="en-GB" sz="900" b="1"/>
        </a:p>
      </dgm:t>
    </dgm:pt>
    <dgm:pt modelId="{36E64565-107C-4FA4-986E-036B2F77B8CE}">
      <dgm:prSet custT="1"/>
      <dgm:spPr/>
      <dgm:t>
        <a:bodyPr/>
        <a:lstStyle/>
        <a:p>
          <a:pPr algn="ctr"/>
          <a:r>
            <a:rPr lang="en-GB" sz="900" b="1"/>
            <a:t>Avoidance</a:t>
          </a:r>
        </a:p>
      </dgm:t>
    </dgm:pt>
    <dgm:pt modelId="{06811977-9D30-49C4-B29B-8965CD8676C5}" type="parTrans" cxnId="{0EC8A50F-E184-4759-B5B8-CB811299DE0E}">
      <dgm:prSet/>
      <dgm:spPr/>
      <dgm:t>
        <a:bodyPr/>
        <a:lstStyle/>
        <a:p>
          <a:pPr algn="ctr"/>
          <a:endParaRPr lang="en-GB" sz="900" b="1"/>
        </a:p>
      </dgm:t>
    </dgm:pt>
    <dgm:pt modelId="{6169A976-0CA1-474B-83EE-E6C8C172E494}" type="sibTrans" cxnId="{0EC8A50F-E184-4759-B5B8-CB811299DE0E}">
      <dgm:prSet custT="1"/>
      <dgm:spPr/>
      <dgm:t>
        <a:bodyPr/>
        <a:lstStyle/>
        <a:p>
          <a:pPr algn="ctr"/>
          <a:endParaRPr lang="en-GB" sz="900" b="1"/>
        </a:p>
      </dgm:t>
    </dgm:pt>
    <dgm:pt modelId="{3FDCF973-C609-4BB1-9600-B4321F1F7F54}" type="pres">
      <dgm:prSet presAssocID="{3BEA297E-9B25-4D93-B62E-C4BEB084CB04}" presName="cycle" presStyleCnt="0">
        <dgm:presLayoutVars>
          <dgm:dir/>
          <dgm:resizeHandles val="exact"/>
        </dgm:presLayoutVars>
      </dgm:prSet>
      <dgm:spPr/>
    </dgm:pt>
    <dgm:pt modelId="{4B6ED605-878A-4115-8796-F0FF716A7656}" type="pres">
      <dgm:prSet presAssocID="{36E64565-107C-4FA4-986E-036B2F77B8CE}" presName="dummy" presStyleCnt="0"/>
      <dgm:spPr/>
    </dgm:pt>
    <dgm:pt modelId="{0EC10C94-FF1D-4BEF-A473-FD0E7AF98579}" type="pres">
      <dgm:prSet presAssocID="{36E64565-107C-4FA4-986E-036B2F77B8CE}" presName="node" presStyleLbl="revTx" presStyleIdx="0" presStyleCnt="6">
        <dgm:presLayoutVars>
          <dgm:bulletEnabled val="1"/>
        </dgm:presLayoutVars>
      </dgm:prSet>
      <dgm:spPr/>
    </dgm:pt>
    <dgm:pt modelId="{0AEC2634-7518-40A6-98B4-22DB6E764AEE}" type="pres">
      <dgm:prSet presAssocID="{6169A976-0CA1-474B-83EE-E6C8C172E494}" presName="sibTrans" presStyleLbl="node1" presStyleIdx="0" presStyleCnt="6"/>
      <dgm:spPr/>
    </dgm:pt>
    <dgm:pt modelId="{4C8819F5-ECC4-461F-AE2A-E0003C93F393}" type="pres">
      <dgm:prSet presAssocID="{1EFC17F5-8E27-4BD8-B896-9759F68A957A}" presName="dummy" presStyleCnt="0"/>
      <dgm:spPr/>
    </dgm:pt>
    <dgm:pt modelId="{F5AF6EC0-FE3C-4B4B-B0FE-E41F1DE5E2A1}" type="pres">
      <dgm:prSet presAssocID="{1EFC17F5-8E27-4BD8-B896-9759F68A957A}" presName="node" presStyleLbl="revTx" presStyleIdx="1" presStyleCnt="6">
        <dgm:presLayoutVars>
          <dgm:bulletEnabled val="1"/>
        </dgm:presLayoutVars>
      </dgm:prSet>
      <dgm:spPr/>
    </dgm:pt>
    <dgm:pt modelId="{7461422B-198E-4595-B1C9-C68EC5AD8730}" type="pres">
      <dgm:prSet presAssocID="{A24EE47B-94F8-4878-B529-977810B92582}" presName="sibTrans" presStyleLbl="node1" presStyleIdx="1" presStyleCnt="6"/>
      <dgm:spPr/>
    </dgm:pt>
    <dgm:pt modelId="{65844404-438C-48B2-8E1C-3E39A88EF99D}" type="pres">
      <dgm:prSet presAssocID="{EB0626E6-4269-4355-98C3-3FA70490B456}" presName="dummy" presStyleCnt="0"/>
      <dgm:spPr/>
    </dgm:pt>
    <dgm:pt modelId="{23AE7ADD-9F6E-4AAE-8031-F5132F0C2CF9}" type="pres">
      <dgm:prSet presAssocID="{EB0626E6-4269-4355-98C3-3FA70490B456}" presName="node" presStyleLbl="revTx" presStyleIdx="2" presStyleCnt="6">
        <dgm:presLayoutVars>
          <dgm:bulletEnabled val="1"/>
        </dgm:presLayoutVars>
      </dgm:prSet>
      <dgm:spPr/>
    </dgm:pt>
    <dgm:pt modelId="{776F1C1A-28F3-40D4-A891-951240E135E9}" type="pres">
      <dgm:prSet presAssocID="{6BE83AA4-0438-4C79-B568-8DC6F10AD5F0}" presName="sibTrans" presStyleLbl="node1" presStyleIdx="2" presStyleCnt="6"/>
      <dgm:spPr/>
    </dgm:pt>
    <dgm:pt modelId="{D8414543-3EF7-4F1C-96EC-30C8FF51EE6C}" type="pres">
      <dgm:prSet presAssocID="{58903B10-B27F-4824-868F-EB7CE1F1AF0D}" presName="dummy" presStyleCnt="0"/>
      <dgm:spPr/>
    </dgm:pt>
    <dgm:pt modelId="{518F7EAB-7B99-4B87-AD17-A6FFC5F4FF83}" type="pres">
      <dgm:prSet presAssocID="{58903B10-B27F-4824-868F-EB7CE1F1AF0D}" presName="node" presStyleLbl="revTx" presStyleIdx="3" presStyleCnt="6">
        <dgm:presLayoutVars>
          <dgm:bulletEnabled val="1"/>
        </dgm:presLayoutVars>
      </dgm:prSet>
      <dgm:spPr/>
    </dgm:pt>
    <dgm:pt modelId="{4D20F525-0CAE-4AD0-A5EE-B6654515CBF2}" type="pres">
      <dgm:prSet presAssocID="{848C0B14-5583-401D-AA28-3BA046EAE2FC}" presName="sibTrans" presStyleLbl="node1" presStyleIdx="3" presStyleCnt="6"/>
      <dgm:spPr/>
    </dgm:pt>
    <dgm:pt modelId="{40CC7100-36C9-458A-9890-ED127ECE3347}" type="pres">
      <dgm:prSet presAssocID="{0A4241A5-A26D-4E3D-BAE8-F492458A49D7}" presName="dummy" presStyleCnt="0"/>
      <dgm:spPr/>
    </dgm:pt>
    <dgm:pt modelId="{1F7D05C8-AA34-4DFC-8369-6DF1555FD903}" type="pres">
      <dgm:prSet presAssocID="{0A4241A5-A26D-4E3D-BAE8-F492458A49D7}" presName="node" presStyleLbl="revTx" presStyleIdx="4" presStyleCnt="6">
        <dgm:presLayoutVars>
          <dgm:bulletEnabled val="1"/>
        </dgm:presLayoutVars>
      </dgm:prSet>
      <dgm:spPr/>
    </dgm:pt>
    <dgm:pt modelId="{F0D4E870-F12C-477D-B846-AA17CFAFC15D}" type="pres">
      <dgm:prSet presAssocID="{FA81231E-354E-4773-9437-2264367EF23B}" presName="sibTrans" presStyleLbl="node1" presStyleIdx="4" presStyleCnt="6"/>
      <dgm:spPr/>
    </dgm:pt>
    <dgm:pt modelId="{45BDBD35-9913-4AC0-9BBD-0E298BCC93FA}" type="pres">
      <dgm:prSet presAssocID="{D2BBB657-F450-4371-BF3B-E573165843A2}" presName="dummy" presStyleCnt="0"/>
      <dgm:spPr/>
    </dgm:pt>
    <dgm:pt modelId="{9B34F096-6A5A-4D72-B787-BCCDD9E5351D}" type="pres">
      <dgm:prSet presAssocID="{D2BBB657-F450-4371-BF3B-E573165843A2}" presName="node" presStyleLbl="revTx" presStyleIdx="5" presStyleCnt="6" custScaleX="99961" custScaleY="99961">
        <dgm:presLayoutVars>
          <dgm:bulletEnabled val="1"/>
        </dgm:presLayoutVars>
      </dgm:prSet>
      <dgm:spPr/>
    </dgm:pt>
    <dgm:pt modelId="{62A84D69-4E9A-4008-8D7C-2D45789E9225}" type="pres">
      <dgm:prSet presAssocID="{01F6F59D-3EBB-4035-8EA3-7C6E303F75A1}" presName="sibTrans" presStyleLbl="node1" presStyleIdx="5" presStyleCnt="6"/>
      <dgm:spPr/>
    </dgm:pt>
  </dgm:ptLst>
  <dgm:cxnLst>
    <dgm:cxn modelId="{4CCD6400-E055-4C34-94D4-041FA3CA59B3}" type="presOf" srcId="{A24EE47B-94F8-4878-B529-977810B92582}" destId="{7461422B-198E-4595-B1C9-C68EC5AD8730}" srcOrd="0" destOrd="0" presId="urn:microsoft.com/office/officeart/2005/8/layout/cycle1"/>
    <dgm:cxn modelId="{C73DE404-6035-47F2-A21A-BFBCBFCA8DE8}" srcId="{3BEA297E-9B25-4D93-B62E-C4BEB084CB04}" destId="{EB0626E6-4269-4355-98C3-3FA70490B456}" srcOrd="2" destOrd="0" parTransId="{7A8EE0C7-F6FE-4DD9-835F-F229F9D21C93}" sibTransId="{6BE83AA4-0438-4C79-B568-8DC6F10AD5F0}"/>
    <dgm:cxn modelId="{3EE60C07-6024-46D1-BA97-7B32EEED9794}" type="presOf" srcId="{58903B10-B27F-4824-868F-EB7CE1F1AF0D}" destId="{518F7EAB-7B99-4B87-AD17-A6FFC5F4FF83}" srcOrd="0" destOrd="0" presId="urn:microsoft.com/office/officeart/2005/8/layout/cycle1"/>
    <dgm:cxn modelId="{B193D80C-A6B5-4713-8C7E-E50FE201C78E}" type="presOf" srcId="{6169A976-0CA1-474B-83EE-E6C8C172E494}" destId="{0AEC2634-7518-40A6-98B4-22DB6E764AEE}" srcOrd="0" destOrd="0" presId="urn:microsoft.com/office/officeart/2005/8/layout/cycle1"/>
    <dgm:cxn modelId="{0EC8A50F-E184-4759-B5B8-CB811299DE0E}" srcId="{3BEA297E-9B25-4D93-B62E-C4BEB084CB04}" destId="{36E64565-107C-4FA4-986E-036B2F77B8CE}" srcOrd="0" destOrd="0" parTransId="{06811977-9D30-49C4-B29B-8965CD8676C5}" sibTransId="{6169A976-0CA1-474B-83EE-E6C8C172E494}"/>
    <dgm:cxn modelId="{B4C8AB2D-E4EF-4659-9ADA-A2C4107E7239}" type="presOf" srcId="{D2BBB657-F450-4371-BF3B-E573165843A2}" destId="{9B34F096-6A5A-4D72-B787-BCCDD9E5351D}" srcOrd="0" destOrd="0" presId="urn:microsoft.com/office/officeart/2005/8/layout/cycle1"/>
    <dgm:cxn modelId="{77F17635-2BD2-48DC-B0EE-C4C37E415361}" type="presOf" srcId="{6BE83AA4-0438-4C79-B568-8DC6F10AD5F0}" destId="{776F1C1A-28F3-40D4-A891-951240E135E9}" srcOrd="0" destOrd="0" presId="urn:microsoft.com/office/officeart/2005/8/layout/cycle1"/>
    <dgm:cxn modelId="{B5F65539-EA0B-4999-BE9F-E98DC0390564}" type="presOf" srcId="{EB0626E6-4269-4355-98C3-3FA70490B456}" destId="{23AE7ADD-9F6E-4AAE-8031-F5132F0C2CF9}" srcOrd="0" destOrd="0" presId="urn:microsoft.com/office/officeart/2005/8/layout/cycle1"/>
    <dgm:cxn modelId="{25A26D3C-5F66-480D-A36C-2A5BDA46A4FE}" type="presOf" srcId="{0A4241A5-A26D-4E3D-BAE8-F492458A49D7}" destId="{1F7D05C8-AA34-4DFC-8369-6DF1555FD903}" srcOrd="0" destOrd="0" presId="urn:microsoft.com/office/officeart/2005/8/layout/cycle1"/>
    <dgm:cxn modelId="{09B5F347-935A-4109-8476-F34ED5E7B814}" type="presOf" srcId="{FA81231E-354E-4773-9437-2264367EF23B}" destId="{F0D4E870-F12C-477D-B846-AA17CFAFC15D}" srcOrd="0" destOrd="0" presId="urn:microsoft.com/office/officeart/2005/8/layout/cycle1"/>
    <dgm:cxn modelId="{9B510270-1964-45C5-9469-98CB72BD1706}" srcId="{3BEA297E-9B25-4D93-B62E-C4BEB084CB04}" destId="{58903B10-B27F-4824-868F-EB7CE1F1AF0D}" srcOrd="3" destOrd="0" parTransId="{92859F9D-11C4-4649-9E85-7C12BC6482FD}" sibTransId="{848C0B14-5583-401D-AA28-3BA046EAE2FC}"/>
    <dgm:cxn modelId="{02A47657-3129-442B-93B0-6724DAA14454}" type="presOf" srcId="{1EFC17F5-8E27-4BD8-B896-9759F68A957A}" destId="{F5AF6EC0-FE3C-4B4B-B0FE-E41F1DE5E2A1}" srcOrd="0" destOrd="0" presId="urn:microsoft.com/office/officeart/2005/8/layout/cycle1"/>
    <dgm:cxn modelId="{F473B37D-5561-4F52-85ED-838FDAA6962B}" srcId="{3BEA297E-9B25-4D93-B62E-C4BEB084CB04}" destId="{D2BBB657-F450-4371-BF3B-E573165843A2}" srcOrd="5" destOrd="0" parTransId="{06ABAE41-CDAA-4F40-A120-5780C92F44F2}" sibTransId="{01F6F59D-3EBB-4035-8EA3-7C6E303F75A1}"/>
    <dgm:cxn modelId="{0F15EC83-3DE4-46A7-8EE3-EAFE35601FFE}" srcId="{3BEA297E-9B25-4D93-B62E-C4BEB084CB04}" destId="{1EFC17F5-8E27-4BD8-B896-9759F68A957A}" srcOrd="1" destOrd="0" parTransId="{4376D9E1-216B-4AFB-8C1D-3D11752619EC}" sibTransId="{A24EE47B-94F8-4878-B529-977810B92582}"/>
    <dgm:cxn modelId="{40CF5486-4734-4350-9D38-3C43D943602D}" type="presOf" srcId="{848C0B14-5583-401D-AA28-3BA046EAE2FC}" destId="{4D20F525-0CAE-4AD0-A5EE-B6654515CBF2}" srcOrd="0" destOrd="0" presId="urn:microsoft.com/office/officeart/2005/8/layout/cycle1"/>
    <dgm:cxn modelId="{3C338CC3-DCDE-4EB1-BB9D-E1A31EA8EFA3}" type="presOf" srcId="{01F6F59D-3EBB-4035-8EA3-7C6E303F75A1}" destId="{62A84D69-4E9A-4008-8D7C-2D45789E9225}" srcOrd="0" destOrd="0" presId="urn:microsoft.com/office/officeart/2005/8/layout/cycle1"/>
    <dgm:cxn modelId="{A298BEE0-325F-4E3D-BC6F-F2465E3CB7D8}" type="presOf" srcId="{36E64565-107C-4FA4-986E-036B2F77B8CE}" destId="{0EC10C94-FF1D-4BEF-A473-FD0E7AF98579}" srcOrd="0" destOrd="0" presId="urn:microsoft.com/office/officeart/2005/8/layout/cycle1"/>
    <dgm:cxn modelId="{D68114F3-FB06-426E-BB3B-87DECDD00FA0}" srcId="{3BEA297E-9B25-4D93-B62E-C4BEB084CB04}" destId="{0A4241A5-A26D-4E3D-BAE8-F492458A49D7}" srcOrd="4" destOrd="0" parTransId="{332335D5-2650-48D9-A649-CC80CFA683A1}" sibTransId="{FA81231E-354E-4773-9437-2264367EF23B}"/>
    <dgm:cxn modelId="{F48D27F6-DC38-4B6A-B3C3-BFC8C4988D70}" type="presOf" srcId="{3BEA297E-9B25-4D93-B62E-C4BEB084CB04}" destId="{3FDCF973-C609-4BB1-9600-B4321F1F7F54}" srcOrd="0" destOrd="0" presId="urn:microsoft.com/office/officeart/2005/8/layout/cycle1"/>
    <dgm:cxn modelId="{22815C48-7A49-41B2-925D-0D9B3D847230}" type="presParOf" srcId="{3FDCF973-C609-4BB1-9600-B4321F1F7F54}" destId="{4B6ED605-878A-4115-8796-F0FF716A7656}" srcOrd="0" destOrd="0" presId="urn:microsoft.com/office/officeart/2005/8/layout/cycle1"/>
    <dgm:cxn modelId="{13847622-70F0-4A95-945B-19AEB85DD18A}" type="presParOf" srcId="{3FDCF973-C609-4BB1-9600-B4321F1F7F54}" destId="{0EC10C94-FF1D-4BEF-A473-FD0E7AF98579}" srcOrd="1" destOrd="0" presId="urn:microsoft.com/office/officeart/2005/8/layout/cycle1"/>
    <dgm:cxn modelId="{6FE2CC00-D2F6-4B06-ABBF-790C3D39EB72}" type="presParOf" srcId="{3FDCF973-C609-4BB1-9600-B4321F1F7F54}" destId="{0AEC2634-7518-40A6-98B4-22DB6E764AEE}" srcOrd="2" destOrd="0" presId="urn:microsoft.com/office/officeart/2005/8/layout/cycle1"/>
    <dgm:cxn modelId="{A9D3C84D-FC3B-4728-AFEE-B4EE1067C597}" type="presParOf" srcId="{3FDCF973-C609-4BB1-9600-B4321F1F7F54}" destId="{4C8819F5-ECC4-461F-AE2A-E0003C93F393}" srcOrd="3" destOrd="0" presId="urn:microsoft.com/office/officeart/2005/8/layout/cycle1"/>
    <dgm:cxn modelId="{343A60E2-4068-45D4-B32B-AD016D9232AF}" type="presParOf" srcId="{3FDCF973-C609-4BB1-9600-B4321F1F7F54}" destId="{F5AF6EC0-FE3C-4B4B-B0FE-E41F1DE5E2A1}" srcOrd="4" destOrd="0" presId="urn:microsoft.com/office/officeart/2005/8/layout/cycle1"/>
    <dgm:cxn modelId="{0B4200A2-87FD-4567-976A-E88B993878D4}" type="presParOf" srcId="{3FDCF973-C609-4BB1-9600-B4321F1F7F54}" destId="{7461422B-198E-4595-B1C9-C68EC5AD8730}" srcOrd="5" destOrd="0" presId="urn:microsoft.com/office/officeart/2005/8/layout/cycle1"/>
    <dgm:cxn modelId="{CC85155F-561E-45B9-A335-E8732D00E2A5}" type="presParOf" srcId="{3FDCF973-C609-4BB1-9600-B4321F1F7F54}" destId="{65844404-438C-48B2-8E1C-3E39A88EF99D}" srcOrd="6" destOrd="0" presId="urn:microsoft.com/office/officeart/2005/8/layout/cycle1"/>
    <dgm:cxn modelId="{2C4E1526-E763-48B2-8947-D2C1579801D3}" type="presParOf" srcId="{3FDCF973-C609-4BB1-9600-B4321F1F7F54}" destId="{23AE7ADD-9F6E-4AAE-8031-F5132F0C2CF9}" srcOrd="7" destOrd="0" presId="urn:microsoft.com/office/officeart/2005/8/layout/cycle1"/>
    <dgm:cxn modelId="{4293E336-205D-45B1-A5EA-CCD3ED0EA651}" type="presParOf" srcId="{3FDCF973-C609-4BB1-9600-B4321F1F7F54}" destId="{776F1C1A-28F3-40D4-A891-951240E135E9}" srcOrd="8" destOrd="0" presId="urn:microsoft.com/office/officeart/2005/8/layout/cycle1"/>
    <dgm:cxn modelId="{ADD73DAC-B083-488B-8FF8-1BCB249458AE}" type="presParOf" srcId="{3FDCF973-C609-4BB1-9600-B4321F1F7F54}" destId="{D8414543-3EF7-4F1C-96EC-30C8FF51EE6C}" srcOrd="9" destOrd="0" presId="urn:microsoft.com/office/officeart/2005/8/layout/cycle1"/>
    <dgm:cxn modelId="{F570DE05-3BD0-4DF7-8141-BF22A9E14C19}" type="presParOf" srcId="{3FDCF973-C609-4BB1-9600-B4321F1F7F54}" destId="{518F7EAB-7B99-4B87-AD17-A6FFC5F4FF83}" srcOrd="10" destOrd="0" presId="urn:microsoft.com/office/officeart/2005/8/layout/cycle1"/>
    <dgm:cxn modelId="{5596737C-CB95-4EE3-9AEC-75199A20C060}" type="presParOf" srcId="{3FDCF973-C609-4BB1-9600-B4321F1F7F54}" destId="{4D20F525-0CAE-4AD0-A5EE-B6654515CBF2}" srcOrd="11" destOrd="0" presId="urn:microsoft.com/office/officeart/2005/8/layout/cycle1"/>
    <dgm:cxn modelId="{358EBE51-79BB-4A5F-968A-859E4C4D549A}" type="presParOf" srcId="{3FDCF973-C609-4BB1-9600-B4321F1F7F54}" destId="{40CC7100-36C9-458A-9890-ED127ECE3347}" srcOrd="12" destOrd="0" presId="urn:microsoft.com/office/officeart/2005/8/layout/cycle1"/>
    <dgm:cxn modelId="{5B90646A-8AC1-4211-9FA2-B25C1C4988A6}" type="presParOf" srcId="{3FDCF973-C609-4BB1-9600-B4321F1F7F54}" destId="{1F7D05C8-AA34-4DFC-8369-6DF1555FD903}" srcOrd="13" destOrd="0" presId="urn:microsoft.com/office/officeart/2005/8/layout/cycle1"/>
    <dgm:cxn modelId="{CC4BB89B-AB8D-4B45-B28F-4551A2355CC9}" type="presParOf" srcId="{3FDCF973-C609-4BB1-9600-B4321F1F7F54}" destId="{F0D4E870-F12C-477D-B846-AA17CFAFC15D}" srcOrd="14" destOrd="0" presId="urn:microsoft.com/office/officeart/2005/8/layout/cycle1"/>
    <dgm:cxn modelId="{64946E6C-E24D-4421-AAAB-10151FC09186}" type="presParOf" srcId="{3FDCF973-C609-4BB1-9600-B4321F1F7F54}" destId="{45BDBD35-9913-4AC0-9BBD-0E298BCC93FA}" srcOrd="15" destOrd="0" presId="urn:microsoft.com/office/officeart/2005/8/layout/cycle1"/>
    <dgm:cxn modelId="{C9DFE46E-8E90-4E98-A22A-496E8E086194}" type="presParOf" srcId="{3FDCF973-C609-4BB1-9600-B4321F1F7F54}" destId="{9B34F096-6A5A-4D72-B787-BCCDD9E5351D}" srcOrd="16" destOrd="0" presId="urn:microsoft.com/office/officeart/2005/8/layout/cycle1"/>
    <dgm:cxn modelId="{42E2BA70-A0AC-4512-9C33-F8C88633A555}" type="presParOf" srcId="{3FDCF973-C609-4BB1-9600-B4321F1F7F54}" destId="{62A84D69-4E9A-4008-8D7C-2D45789E9225}" srcOrd="17" destOrd="0" presId="urn:microsoft.com/office/officeart/2005/8/layout/cycle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972CC5-45E2-48B5-AB35-C2E7B664174B}">
      <dsp:nvSpPr>
        <dsp:cNvPr id="0" name=""/>
        <dsp:cNvSpPr/>
      </dsp:nvSpPr>
      <dsp:spPr>
        <a:xfrm>
          <a:off x="999219" y="1447800"/>
          <a:ext cx="172531" cy="1314204"/>
        </a:xfrm>
        <a:custGeom>
          <a:avLst/>
          <a:gdLst/>
          <a:ahLst/>
          <a:cxnLst/>
          <a:rect l="0" t="0" r="0" b="0"/>
          <a:pathLst>
            <a:path>
              <a:moveTo>
                <a:pt x="0" y="0"/>
              </a:moveTo>
              <a:lnTo>
                <a:pt x="86265" y="0"/>
              </a:lnTo>
              <a:lnTo>
                <a:pt x="86265" y="1314204"/>
              </a:lnTo>
              <a:lnTo>
                <a:pt x="172531" y="131420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052347" y="2071765"/>
        <a:ext cx="66274" cy="66274"/>
      </dsp:txXfrm>
    </dsp:sp>
    <dsp:sp modelId="{F6868F94-7258-4F1A-AC37-52557249D173}">
      <dsp:nvSpPr>
        <dsp:cNvPr id="0" name=""/>
        <dsp:cNvSpPr/>
      </dsp:nvSpPr>
      <dsp:spPr>
        <a:xfrm>
          <a:off x="999219" y="1447800"/>
          <a:ext cx="172531" cy="985653"/>
        </a:xfrm>
        <a:custGeom>
          <a:avLst/>
          <a:gdLst/>
          <a:ahLst/>
          <a:cxnLst/>
          <a:rect l="0" t="0" r="0" b="0"/>
          <a:pathLst>
            <a:path>
              <a:moveTo>
                <a:pt x="0" y="0"/>
              </a:moveTo>
              <a:lnTo>
                <a:pt x="86265" y="0"/>
              </a:lnTo>
              <a:lnTo>
                <a:pt x="86265" y="985653"/>
              </a:lnTo>
              <a:lnTo>
                <a:pt x="172531" y="98565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060468" y="1915610"/>
        <a:ext cx="50031" cy="50031"/>
      </dsp:txXfrm>
    </dsp:sp>
    <dsp:sp modelId="{26B30D4A-F8EE-4439-9C42-173699A62046}">
      <dsp:nvSpPr>
        <dsp:cNvPr id="0" name=""/>
        <dsp:cNvSpPr/>
      </dsp:nvSpPr>
      <dsp:spPr>
        <a:xfrm>
          <a:off x="999219" y="1447800"/>
          <a:ext cx="172531" cy="657102"/>
        </a:xfrm>
        <a:custGeom>
          <a:avLst/>
          <a:gdLst/>
          <a:ahLst/>
          <a:cxnLst/>
          <a:rect l="0" t="0" r="0" b="0"/>
          <a:pathLst>
            <a:path>
              <a:moveTo>
                <a:pt x="0" y="0"/>
              </a:moveTo>
              <a:lnTo>
                <a:pt x="86265" y="0"/>
              </a:lnTo>
              <a:lnTo>
                <a:pt x="86265" y="657102"/>
              </a:lnTo>
              <a:lnTo>
                <a:pt x="172531" y="6571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068500" y="1759366"/>
        <a:ext cx="33968" cy="33968"/>
      </dsp:txXfrm>
    </dsp:sp>
    <dsp:sp modelId="{034288A1-CF67-4B6D-BD58-10F90172DB60}">
      <dsp:nvSpPr>
        <dsp:cNvPr id="0" name=""/>
        <dsp:cNvSpPr/>
      </dsp:nvSpPr>
      <dsp:spPr>
        <a:xfrm>
          <a:off x="999219" y="1447800"/>
          <a:ext cx="172531" cy="328551"/>
        </a:xfrm>
        <a:custGeom>
          <a:avLst/>
          <a:gdLst/>
          <a:ahLst/>
          <a:cxnLst/>
          <a:rect l="0" t="0" r="0" b="0"/>
          <a:pathLst>
            <a:path>
              <a:moveTo>
                <a:pt x="0" y="0"/>
              </a:moveTo>
              <a:lnTo>
                <a:pt x="86265" y="0"/>
              </a:lnTo>
              <a:lnTo>
                <a:pt x="86265" y="328551"/>
              </a:lnTo>
              <a:lnTo>
                <a:pt x="172531" y="32855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076207" y="1602798"/>
        <a:ext cx="18554" cy="18554"/>
      </dsp:txXfrm>
    </dsp:sp>
    <dsp:sp modelId="{EA554AA7-B0F3-45F2-8C06-41A772DEDCD4}">
      <dsp:nvSpPr>
        <dsp:cNvPr id="0" name=""/>
        <dsp:cNvSpPr/>
      </dsp:nvSpPr>
      <dsp:spPr>
        <a:xfrm>
          <a:off x="999219" y="1402080"/>
          <a:ext cx="172531" cy="91440"/>
        </a:xfrm>
        <a:custGeom>
          <a:avLst/>
          <a:gdLst/>
          <a:ahLst/>
          <a:cxnLst/>
          <a:rect l="0" t="0" r="0" b="0"/>
          <a:pathLst>
            <a:path>
              <a:moveTo>
                <a:pt x="0" y="45720"/>
              </a:moveTo>
              <a:lnTo>
                <a:pt x="172531" y="4572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081171" y="1443486"/>
        <a:ext cx="8626" cy="8626"/>
      </dsp:txXfrm>
    </dsp:sp>
    <dsp:sp modelId="{3681AE75-1935-46BC-9663-CC6AD3CA2C06}">
      <dsp:nvSpPr>
        <dsp:cNvPr id="0" name=""/>
        <dsp:cNvSpPr/>
      </dsp:nvSpPr>
      <dsp:spPr>
        <a:xfrm>
          <a:off x="999219" y="1119248"/>
          <a:ext cx="172531" cy="328551"/>
        </a:xfrm>
        <a:custGeom>
          <a:avLst/>
          <a:gdLst/>
          <a:ahLst/>
          <a:cxnLst/>
          <a:rect l="0" t="0" r="0" b="0"/>
          <a:pathLst>
            <a:path>
              <a:moveTo>
                <a:pt x="0" y="328551"/>
              </a:moveTo>
              <a:lnTo>
                <a:pt x="86265" y="328551"/>
              </a:lnTo>
              <a:lnTo>
                <a:pt x="86265" y="0"/>
              </a:lnTo>
              <a:lnTo>
                <a:pt x="172531"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076207" y="1274247"/>
        <a:ext cx="18554" cy="18554"/>
      </dsp:txXfrm>
    </dsp:sp>
    <dsp:sp modelId="{40C61001-ECBA-4B3F-B088-BD50A46B4547}">
      <dsp:nvSpPr>
        <dsp:cNvPr id="0" name=""/>
        <dsp:cNvSpPr/>
      </dsp:nvSpPr>
      <dsp:spPr>
        <a:xfrm>
          <a:off x="999219" y="790697"/>
          <a:ext cx="172531" cy="657102"/>
        </a:xfrm>
        <a:custGeom>
          <a:avLst/>
          <a:gdLst/>
          <a:ahLst/>
          <a:cxnLst/>
          <a:rect l="0" t="0" r="0" b="0"/>
          <a:pathLst>
            <a:path>
              <a:moveTo>
                <a:pt x="0" y="657102"/>
              </a:moveTo>
              <a:lnTo>
                <a:pt x="86265" y="657102"/>
              </a:lnTo>
              <a:lnTo>
                <a:pt x="86265" y="0"/>
              </a:lnTo>
              <a:lnTo>
                <a:pt x="172531"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068500" y="1102264"/>
        <a:ext cx="33968" cy="33968"/>
      </dsp:txXfrm>
    </dsp:sp>
    <dsp:sp modelId="{8DBF6A69-B178-45D4-BBAD-DE44B71FACD5}">
      <dsp:nvSpPr>
        <dsp:cNvPr id="0" name=""/>
        <dsp:cNvSpPr/>
      </dsp:nvSpPr>
      <dsp:spPr>
        <a:xfrm>
          <a:off x="999219" y="462146"/>
          <a:ext cx="172531" cy="985653"/>
        </a:xfrm>
        <a:custGeom>
          <a:avLst/>
          <a:gdLst/>
          <a:ahLst/>
          <a:cxnLst/>
          <a:rect l="0" t="0" r="0" b="0"/>
          <a:pathLst>
            <a:path>
              <a:moveTo>
                <a:pt x="0" y="985653"/>
              </a:moveTo>
              <a:lnTo>
                <a:pt x="86265" y="985653"/>
              </a:lnTo>
              <a:lnTo>
                <a:pt x="86265" y="0"/>
              </a:lnTo>
              <a:lnTo>
                <a:pt x="172531"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060468" y="929957"/>
        <a:ext cx="50031" cy="50031"/>
      </dsp:txXfrm>
    </dsp:sp>
    <dsp:sp modelId="{161EEE6B-ADD0-4BAD-8322-ACB6ADB5C747}">
      <dsp:nvSpPr>
        <dsp:cNvPr id="0" name=""/>
        <dsp:cNvSpPr/>
      </dsp:nvSpPr>
      <dsp:spPr>
        <a:xfrm>
          <a:off x="999219" y="133595"/>
          <a:ext cx="172531" cy="1314204"/>
        </a:xfrm>
        <a:custGeom>
          <a:avLst/>
          <a:gdLst/>
          <a:ahLst/>
          <a:cxnLst/>
          <a:rect l="0" t="0" r="0" b="0"/>
          <a:pathLst>
            <a:path>
              <a:moveTo>
                <a:pt x="0" y="1314204"/>
              </a:moveTo>
              <a:lnTo>
                <a:pt x="86265" y="1314204"/>
              </a:lnTo>
              <a:lnTo>
                <a:pt x="86265" y="0"/>
              </a:lnTo>
              <a:lnTo>
                <a:pt x="172531"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052347" y="757560"/>
        <a:ext cx="66274" cy="66274"/>
      </dsp:txXfrm>
    </dsp:sp>
    <dsp:sp modelId="{648B4E42-D252-4133-8ECC-C4D4378DFAD7}">
      <dsp:nvSpPr>
        <dsp:cNvPr id="0" name=""/>
        <dsp:cNvSpPr/>
      </dsp:nvSpPr>
      <dsp:spPr>
        <a:xfrm rot="16200000">
          <a:off x="-337671" y="1190240"/>
          <a:ext cx="2158661" cy="515118"/>
        </a:xfrm>
        <a:prstGeom prst="rect">
          <a:avLst/>
        </a:prstGeom>
        <a:solidFill>
          <a:schemeClr val="accent5">
            <a:lumMod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GB" sz="1600" b="1" kern="1200"/>
            <a:t>Project Risk Management</a:t>
          </a:r>
        </a:p>
      </dsp:txBody>
      <dsp:txXfrm>
        <a:off x="-337671" y="1190240"/>
        <a:ext cx="2158661" cy="515118"/>
      </dsp:txXfrm>
    </dsp:sp>
    <dsp:sp modelId="{F48AE834-2ECA-4B15-B0C7-C87C66F6AA19}">
      <dsp:nvSpPr>
        <dsp:cNvPr id="0" name=""/>
        <dsp:cNvSpPr/>
      </dsp:nvSpPr>
      <dsp:spPr>
        <a:xfrm>
          <a:off x="1171750" y="2195"/>
          <a:ext cx="3239999" cy="262799"/>
        </a:xfrm>
        <a:prstGeom prst="rect">
          <a:avLst/>
        </a:prstGeom>
        <a:solidFill>
          <a:schemeClr val="accent5">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Text" lastClr="000000"/>
              </a:solidFill>
            </a:rPr>
            <a:t>Risk Management Planning</a:t>
          </a:r>
        </a:p>
      </dsp:txBody>
      <dsp:txXfrm>
        <a:off x="1171750" y="2195"/>
        <a:ext cx="3239999" cy="262799"/>
      </dsp:txXfrm>
    </dsp:sp>
    <dsp:sp modelId="{6391F601-023A-4F36-BE6E-FF9F3315C30D}">
      <dsp:nvSpPr>
        <dsp:cNvPr id="0" name=""/>
        <dsp:cNvSpPr/>
      </dsp:nvSpPr>
      <dsp:spPr>
        <a:xfrm>
          <a:off x="1171750" y="330746"/>
          <a:ext cx="3239999" cy="262799"/>
        </a:xfrm>
        <a:prstGeom prst="rect">
          <a:avLst/>
        </a:prstGeom>
        <a:solidFill>
          <a:schemeClr val="accent5">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Text" lastClr="000000"/>
              </a:solidFill>
            </a:rPr>
            <a:t>Risk Identification</a:t>
          </a:r>
        </a:p>
      </dsp:txBody>
      <dsp:txXfrm>
        <a:off x="1171750" y="330746"/>
        <a:ext cx="3239999" cy="262799"/>
      </dsp:txXfrm>
    </dsp:sp>
    <dsp:sp modelId="{A9727E45-2F78-4431-9A5C-103A1FFFFCF7}">
      <dsp:nvSpPr>
        <dsp:cNvPr id="0" name=""/>
        <dsp:cNvSpPr/>
      </dsp:nvSpPr>
      <dsp:spPr>
        <a:xfrm>
          <a:off x="1171750" y="659297"/>
          <a:ext cx="3239999" cy="262799"/>
        </a:xfrm>
        <a:prstGeom prst="rect">
          <a:avLst/>
        </a:prstGeom>
        <a:solidFill>
          <a:schemeClr val="accent5">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Text" lastClr="000000"/>
              </a:solidFill>
            </a:rPr>
            <a:t>Risk Analysis (Qualitative)</a:t>
          </a:r>
        </a:p>
      </dsp:txBody>
      <dsp:txXfrm>
        <a:off x="1171750" y="659297"/>
        <a:ext cx="3239999" cy="262799"/>
      </dsp:txXfrm>
    </dsp:sp>
    <dsp:sp modelId="{E245BFCF-7B24-4A3E-A51D-FEBB725B4CDD}">
      <dsp:nvSpPr>
        <dsp:cNvPr id="0" name=""/>
        <dsp:cNvSpPr/>
      </dsp:nvSpPr>
      <dsp:spPr>
        <a:xfrm>
          <a:off x="1171750" y="987849"/>
          <a:ext cx="3239999" cy="262799"/>
        </a:xfrm>
        <a:prstGeom prst="rect">
          <a:avLst/>
        </a:prstGeom>
        <a:solidFill>
          <a:schemeClr val="accent5">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Text" lastClr="000000"/>
              </a:solidFill>
            </a:rPr>
            <a:t>Risk Evaluation (Quantitative)</a:t>
          </a:r>
        </a:p>
      </dsp:txBody>
      <dsp:txXfrm>
        <a:off x="1171750" y="987849"/>
        <a:ext cx="3239999" cy="262799"/>
      </dsp:txXfrm>
    </dsp:sp>
    <dsp:sp modelId="{A83F07E8-7D51-4CCA-AA44-489D1B6A0D9F}">
      <dsp:nvSpPr>
        <dsp:cNvPr id="0" name=""/>
        <dsp:cNvSpPr/>
      </dsp:nvSpPr>
      <dsp:spPr>
        <a:xfrm>
          <a:off x="1171750" y="1316400"/>
          <a:ext cx="3239999" cy="262799"/>
        </a:xfrm>
        <a:prstGeom prst="rect">
          <a:avLst/>
        </a:prstGeom>
        <a:solidFill>
          <a:schemeClr val="accent5">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Text" lastClr="000000"/>
              </a:solidFill>
            </a:rPr>
            <a:t>Risk Response Planning</a:t>
          </a:r>
        </a:p>
      </dsp:txBody>
      <dsp:txXfrm>
        <a:off x="1171750" y="1316400"/>
        <a:ext cx="3239999" cy="262799"/>
      </dsp:txXfrm>
    </dsp:sp>
    <dsp:sp modelId="{4BCD4D38-4A0E-4CAD-BA64-CBC91C6F3F9B}">
      <dsp:nvSpPr>
        <dsp:cNvPr id="0" name=""/>
        <dsp:cNvSpPr/>
      </dsp:nvSpPr>
      <dsp:spPr>
        <a:xfrm>
          <a:off x="1171750" y="1644951"/>
          <a:ext cx="3239999" cy="262799"/>
        </a:xfrm>
        <a:prstGeom prst="rect">
          <a:avLst/>
        </a:prstGeom>
        <a:solidFill>
          <a:schemeClr val="accent5">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Text" lastClr="000000"/>
              </a:solidFill>
            </a:rPr>
            <a:t>Risks Treatment</a:t>
          </a:r>
        </a:p>
      </dsp:txBody>
      <dsp:txXfrm>
        <a:off x="1171750" y="1644951"/>
        <a:ext cx="3239999" cy="262799"/>
      </dsp:txXfrm>
    </dsp:sp>
    <dsp:sp modelId="{085AD1C7-FD60-4184-924D-6905A6651FAC}">
      <dsp:nvSpPr>
        <dsp:cNvPr id="0" name=""/>
        <dsp:cNvSpPr/>
      </dsp:nvSpPr>
      <dsp:spPr>
        <a:xfrm>
          <a:off x="1171750" y="1973502"/>
          <a:ext cx="3239999" cy="262799"/>
        </a:xfrm>
        <a:prstGeom prst="rect">
          <a:avLst/>
        </a:prstGeom>
        <a:solidFill>
          <a:schemeClr val="accent5">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Text" lastClr="000000"/>
              </a:solidFill>
            </a:rPr>
            <a:t>Risk  Monitoring &amp; Control</a:t>
          </a:r>
        </a:p>
      </dsp:txBody>
      <dsp:txXfrm>
        <a:off x="1171750" y="1973502"/>
        <a:ext cx="3239999" cy="262799"/>
      </dsp:txXfrm>
    </dsp:sp>
    <dsp:sp modelId="{9F77485E-58E8-44E0-992B-3771621603D8}">
      <dsp:nvSpPr>
        <dsp:cNvPr id="0" name=""/>
        <dsp:cNvSpPr/>
      </dsp:nvSpPr>
      <dsp:spPr>
        <a:xfrm>
          <a:off x="1171750" y="2302053"/>
          <a:ext cx="3239999" cy="262799"/>
        </a:xfrm>
        <a:prstGeom prst="rect">
          <a:avLst/>
        </a:prstGeom>
        <a:solidFill>
          <a:schemeClr val="accent5">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Text" lastClr="000000"/>
              </a:solidFill>
            </a:rPr>
            <a:t>Communication &amp; Consultation</a:t>
          </a:r>
        </a:p>
      </dsp:txBody>
      <dsp:txXfrm>
        <a:off x="1171750" y="2302053"/>
        <a:ext cx="3239999" cy="262799"/>
      </dsp:txXfrm>
    </dsp:sp>
    <dsp:sp modelId="{BF376618-4916-457E-889E-CC20C7FF38BD}">
      <dsp:nvSpPr>
        <dsp:cNvPr id="0" name=""/>
        <dsp:cNvSpPr/>
      </dsp:nvSpPr>
      <dsp:spPr>
        <a:xfrm>
          <a:off x="1171750" y="2630604"/>
          <a:ext cx="3239999" cy="262799"/>
        </a:xfrm>
        <a:prstGeom prst="rect">
          <a:avLst/>
        </a:prstGeom>
        <a:solidFill>
          <a:schemeClr val="accent5">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Text" lastClr="000000"/>
              </a:solidFill>
            </a:rPr>
            <a:t>Review Risk Management</a:t>
          </a:r>
        </a:p>
      </dsp:txBody>
      <dsp:txXfrm>
        <a:off x="1171750" y="2630604"/>
        <a:ext cx="3239999" cy="26279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EC10C94-FF1D-4BEF-A473-FD0E7AF98579}">
      <dsp:nvSpPr>
        <dsp:cNvPr id="0" name=""/>
        <dsp:cNvSpPr/>
      </dsp:nvSpPr>
      <dsp:spPr>
        <a:xfrm>
          <a:off x="3451457" y="6782"/>
          <a:ext cx="623833" cy="62383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b="1" kern="1200"/>
            <a:t>Avoidance</a:t>
          </a:r>
        </a:p>
      </dsp:txBody>
      <dsp:txXfrm>
        <a:off x="3451457" y="6782"/>
        <a:ext cx="623833" cy="623833"/>
      </dsp:txXfrm>
    </dsp:sp>
    <dsp:sp modelId="{0AEC2634-7518-40A6-98B4-22DB6E764AEE}">
      <dsp:nvSpPr>
        <dsp:cNvPr id="0" name=""/>
        <dsp:cNvSpPr/>
      </dsp:nvSpPr>
      <dsp:spPr>
        <a:xfrm>
          <a:off x="1543946" y="453"/>
          <a:ext cx="3047092" cy="3047092"/>
        </a:xfrm>
        <a:prstGeom prst="circularArrow">
          <a:avLst>
            <a:gd name="adj1" fmla="val 3992"/>
            <a:gd name="adj2" fmla="val 250453"/>
            <a:gd name="adj3" fmla="val 20572491"/>
            <a:gd name="adj4" fmla="val 18983724"/>
            <a:gd name="adj5" fmla="val 4658"/>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5AF6EC0-FE3C-4B4B-B0FE-E41F1DE5E2A1}">
      <dsp:nvSpPr>
        <dsp:cNvPr id="0" name=""/>
        <dsp:cNvSpPr/>
      </dsp:nvSpPr>
      <dsp:spPr>
        <a:xfrm>
          <a:off x="4147337" y="1212083"/>
          <a:ext cx="623833" cy="62383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b="1" kern="1200"/>
            <a:t>Mitigation</a:t>
          </a:r>
        </a:p>
      </dsp:txBody>
      <dsp:txXfrm>
        <a:off x="4147337" y="1212083"/>
        <a:ext cx="623833" cy="623833"/>
      </dsp:txXfrm>
    </dsp:sp>
    <dsp:sp modelId="{7461422B-198E-4595-B1C9-C68EC5AD8730}">
      <dsp:nvSpPr>
        <dsp:cNvPr id="0" name=""/>
        <dsp:cNvSpPr/>
      </dsp:nvSpPr>
      <dsp:spPr>
        <a:xfrm>
          <a:off x="1543946" y="453"/>
          <a:ext cx="3047092" cy="3047092"/>
        </a:xfrm>
        <a:prstGeom prst="circularArrow">
          <a:avLst>
            <a:gd name="adj1" fmla="val 3992"/>
            <a:gd name="adj2" fmla="val 250453"/>
            <a:gd name="adj3" fmla="val 2365823"/>
            <a:gd name="adj4" fmla="val 777056"/>
            <a:gd name="adj5" fmla="val 4658"/>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3AE7ADD-9F6E-4AAE-8031-F5132F0C2CF9}">
      <dsp:nvSpPr>
        <dsp:cNvPr id="0" name=""/>
        <dsp:cNvSpPr/>
      </dsp:nvSpPr>
      <dsp:spPr>
        <a:xfrm>
          <a:off x="3451457" y="2417384"/>
          <a:ext cx="623833" cy="62383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b="1" kern="1200"/>
            <a:t>Transfer</a:t>
          </a:r>
        </a:p>
      </dsp:txBody>
      <dsp:txXfrm>
        <a:off x="3451457" y="2417384"/>
        <a:ext cx="623833" cy="623833"/>
      </dsp:txXfrm>
    </dsp:sp>
    <dsp:sp modelId="{776F1C1A-28F3-40D4-A891-951240E135E9}">
      <dsp:nvSpPr>
        <dsp:cNvPr id="0" name=""/>
        <dsp:cNvSpPr/>
      </dsp:nvSpPr>
      <dsp:spPr>
        <a:xfrm>
          <a:off x="1543946" y="453"/>
          <a:ext cx="3047092" cy="3047092"/>
        </a:xfrm>
        <a:prstGeom prst="circularArrow">
          <a:avLst>
            <a:gd name="adj1" fmla="val 3992"/>
            <a:gd name="adj2" fmla="val 250453"/>
            <a:gd name="adj3" fmla="val 6110427"/>
            <a:gd name="adj4" fmla="val 4439120"/>
            <a:gd name="adj5" fmla="val 4658"/>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18F7EAB-7B99-4B87-AD17-A6FFC5F4FF83}">
      <dsp:nvSpPr>
        <dsp:cNvPr id="0" name=""/>
        <dsp:cNvSpPr/>
      </dsp:nvSpPr>
      <dsp:spPr>
        <a:xfrm>
          <a:off x="2059695" y="2417384"/>
          <a:ext cx="623833" cy="62383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b="1" kern="1200"/>
            <a:t>Acceptance</a:t>
          </a:r>
        </a:p>
      </dsp:txBody>
      <dsp:txXfrm>
        <a:off x="2059695" y="2417384"/>
        <a:ext cx="623833" cy="623833"/>
      </dsp:txXfrm>
    </dsp:sp>
    <dsp:sp modelId="{4D20F525-0CAE-4AD0-A5EE-B6654515CBF2}">
      <dsp:nvSpPr>
        <dsp:cNvPr id="0" name=""/>
        <dsp:cNvSpPr/>
      </dsp:nvSpPr>
      <dsp:spPr>
        <a:xfrm>
          <a:off x="1543946" y="453"/>
          <a:ext cx="3047092" cy="3047092"/>
        </a:xfrm>
        <a:prstGeom prst="circularArrow">
          <a:avLst>
            <a:gd name="adj1" fmla="val 3992"/>
            <a:gd name="adj2" fmla="val 250453"/>
            <a:gd name="adj3" fmla="val 9772491"/>
            <a:gd name="adj4" fmla="val 8183724"/>
            <a:gd name="adj5" fmla="val 4658"/>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F7D05C8-AA34-4DFC-8369-6DF1555FD903}">
      <dsp:nvSpPr>
        <dsp:cNvPr id="0" name=""/>
        <dsp:cNvSpPr/>
      </dsp:nvSpPr>
      <dsp:spPr>
        <a:xfrm>
          <a:off x="1363814" y="1212083"/>
          <a:ext cx="623833" cy="62383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b="1" kern="1200"/>
            <a:t>Contingency</a:t>
          </a:r>
        </a:p>
      </dsp:txBody>
      <dsp:txXfrm>
        <a:off x="1363814" y="1212083"/>
        <a:ext cx="623833" cy="623833"/>
      </dsp:txXfrm>
    </dsp:sp>
    <dsp:sp modelId="{F0D4E870-F12C-477D-B846-AA17CFAFC15D}">
      <dsp:nvSpPr>
        <dsp:cNvPr id="0" name=""/>
        <dsp:cNvSpPr/>
      </dsp:nvSpPr>
      <dsp:spPr>
        <a:xfrm>
          <a:off x="1543946" y="453"/>
          <a:ext cx="3047092" cy="3047092"/>
        </a:xfrm>
        <a:prstGeom prst="circularArrow">
          <a:avLst>
            <a:gd name="adj1" fmla="val 3992"/>
            <a:gd name="adj2" fmla="val 250453"/>
            <a:gd name="adj3" fmla="val 13166258"/>
            <a:gd name="adj4" fmla="val 11577056"/>
            <a:gd name="adj5" fmla="val 4658"/>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B34F096-6A5A-4D72-B787-BCCDD9E5351D}">
      <dsp:nvSpPr>
        <dsp:cNvPr id="0" name=""/>
        <dsp:cNvSpPr/>
      </dsp:nvSpPr>
      <dsp:spPr>
        <a:xfrm>
          <a:off x="2059817" y="6904"/>
          <a:ext cx="623590" cy="6235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b="1" kern="1200"/>
            <a:t>Opportunity</a:t>
          </a:r>
        </a:p>
      </dsp:txBody>
      <dsp:txXfrm>
        <a:off x="2059817" y="6904"/>
        <a:ext cx="623590" cy="623590"/>
      </dsp:txXfrm>
    </dsp:sp>
    <dsp:sp modelId="{62A84D69-4E9A-4008-8D7C-2D45789E9225}">
      <dsp:nvSpPr>
        <dsp:cNvPr id="0" name=""/>
        <dsp:cNvSpPr/>
      </dsp:nvSpPr>
      <dsp:spPr>
        <a:xfrm>
          <a:off x="1543946" y="453"/>
          <a:ext cx="3047092" cy="3047092"/>
        </a:xfrm>
        <a:prstGeom prst="circularArrow">
          <a:avLst>
            <a:gd name="adj1" fmla="val 3992"/>
            <a:gd name="adj2" fmla="val 250453"/>
            <a:gd name="adj3" fmla="val 16910427"/>
            <a:gd name="adj4" fmla="val 15238807"/>
            <a:gd name="adj5" fmla="val 4658"/>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6D65BA-4B53-40F9-AB66-56276E86A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12</Pages>
  <Words>2722</Words>
  <Characters>15516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Herman Louw</cp:lastModifiedBy>
  <cp:revision>86</cp:revision>
  <dcterms:created xsi:type="dcterms:W3CDTF">2015-01-26T12:24:00Z</dcterms:created>
  <dcterms:modified xsi:type="dcterms:W3CDTF">2019-03-20T09:18:00Z</dcterms:modified>
</cp:coreProperties>
</file>