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EF71D5" w:rsidRDefault="00607874" w:rsidP="00A851DA">
      <w:pPr>
        <w:pStyle w:val="Default"/>
        <w:rPr>
          <w:rFonts w:asciiTheme="minorHAnsi" w:hAnsiTheme="minorHAnsi"/>
          <w:lang w:val="en-GB"/>
        </w:rPr>
      </w:pPr>
      <w:r w:rsidRPr="00EF71D5">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EF71D5">
        <w:rPr>
          <w:rFonts w:asciiTheme="minorHAnsi" w:hAnsiTheme="minorHAnsi"/>
          <w:lang w:val="en-GB"/>
        </w:rPr>
        <w:t xml:space="preserve">                                                             </w:t>
      </w:r>
      <w:r w:rsidR="00405895" w:rsidRPr="00EF71D5">
        <w:rPr>
          <w:rFonts w:asciiTheme="minorHAnsi" w:hAnsiTheme="minorHAnsi"/>
          <w:lang w:val="en-GB"/>
        </w:rPr>
        <w:t xml:space="preserve">     </w:t>
      </w:r>
    </w:p>
    <w:p w:rsidR="00607874" w:rsidRPr="00EF71D5" w:rsidRDefault="00B25808" w:rsidP="00A851DA">
      <w:r w:rsidRPr="00EF71D5">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EF71D5" w:rsidRDefault="00607874" w:rsidP="00A851DA"/>
    <w:p w:rsidR="00607874" w:rsidRPr="00EF71D5" w:rsidRDefault="00607874" w:rsidP="00A851DA"/>
    <w:p w:rsidR="00607874" w:rsidRPr="00EF71D5" w:rsidRDefault="00607874" w:rsidP="00A851DA"/>
    <w:tbl>
      <w:tblPr>
        <w:tblStyle w:val="TableGrid"/>
        <w:tblW w:w="0" w:type="auto"/>
        <w:tblLook w:val="04A0" w:firstRow="1" w:lastRow="0" w:firstColumn="1" w:lastColumn="0" w:noHBand="0" w:noVBand="1"/>
      </w:tblPr>
      <w:tblGrid>
        <w:gridCol w:w="2522"/>
        <w:gridCol w:w="6494"/>
      </w:tblGrid>
      <w:tr w:rsidR="00A851DA" w:rsidRPr="00EF71D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F71D5" w:rsidRDefault="00A851DA">
            <w:pPr>
              <w:rPr>
                <w:b/>
                <w:color w:val="002060"/>
                <w:lang w:val="en-GB"/>
              </w:rPr>
            </w:pPr>
            <w:r w:rsidRPr="00EF71D5">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F71D5" w:rsidRDefault="00EF71D5">
            <w:pPr>
              <w:pStyle w:val="Default"/>
              <w:rPr>
                <w:rFonts w:asciiTheme="minorHAnsi" w:hAnsiTheme="minorHAnsi"/>
                <w:lang w:val="en-GB"/>
              </w:rPr>
            </w:pPr>
            <w:r w:rsidRPr="00EF71D5">
              <w:rPr>
                <w:rFonts w:asciiTheme="minorHAnsi" w:hAnsiTheme="minorHAnsi"/>
                <w:lang w:val="en-GB"/>
              </w:rPr>
              <w:t>Kim Christine Ronnqvist</w:t>
            </w:r>
          </w:p>
        </w:tc>
      </w:tr>
      <w:tr w:rsidR="00A851DA" w:rsidRPr="00EF71D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F71D5" w:rsidRDefault="00A851DA">
            <w:pPr>
              <w:rPr>
                <w:b/>
                <w:color w:val="002060"/>
                <w:lang w:val="en-GB"/>
              </w:rPr>
            </w:pPr>
            <w:r w:rsidRPr="00EF71D5">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F71D5" w:rsidRDefault="00EF71D5">
            <w:pPr>
              <w:pStyle w:val="Default"/>
              <w:rPr>
                <w:rFonts w:asciiTheme="minorHAnsi" w:hAnsiTheme="minorHAnsi"/>
                <w:lang w:val="en-GB"/>
              </w:rPr>
            </w:pPr>
            <w:r w:rsidRPr="00EF71D5">
              <w:rPr>
                <w:rFonts w:asciiTheme="minorHAnsi" w:hAnsiTheme="minorHAnsi"/>
                <w:lang w:val="en-GB"/>
              </w:rPr>
              <w:t>7375</w:t>
            </w:r>
          </w:p>
        </w:tc>
      </w:tr>
      <w:tr w:rsidR="00A851DA" w:rsidRPr="00EF71D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F71D5" w:rsidRDefault="00A851DA">
            <w:pPr>
              <w:rPr>
                <w:b/>
                <w:color w:val="002060"/>
                <w:lang w:val="en-GB"/>
              </w:rPr>
            </w:pPr>
            <w:r w:rsidRPr="00EF71D5">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F71D5" w:rsidRDefault="00EF71D5">
            <w:pPr>
              <w:pStyle w:val="Default"/>
              <w:rPr>
                <w:rFonts w:asciiTheme="minorHAnsi" w:hAnsiTheme="minorHAnsi"/>
                <w:lang w:val="en-GB"/>
              </w:rPr>
            </w:pPr>
            <w:r w:rsidRPr="00EF71D5">
              <w:rPr>
                <w:rFonts w:asciiTheme="minorHAnsi" w:hAnsiTheme="minorHAnsi"/>
                <w:lang w:val="en-GB"/>
              </w:rPr>
              <w:t>Forensic Accounting Level 4</w:t>
            </w:r>
          </w:p>
        </w:tc>
      </w:tr>
      <w:tr w:rsidR="00A851DA" w:rsidRPr="00EF71D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F71D5" w:rsidRDefault="00A851DA">
            <w:pPr>
              <w:rPr>
                <w:b/>
                <w:color w:val="002060"/>
                <w:lang w:val="en-GB"/>
              </w:rPr>
            </w:pPr>
            <w:r w:rsidRPr="00EF71D5">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EF71D5" w:rsidRDefault="00EF71D5">
            <w:pPr>
              <w:rPr>
                <w:lang w:val="en-GB"/>
              </w:rPr>
            </w:pPr>
            <w:r w:rsidRPr="00EF71D5">
              <w:rPr>
                <w:lang w:val="en-GB"/>
              </w:rPr>
              <w:t>11</w:t>
            </w:r>
          </w:p>
        </w:tc>
      </w:tr>
    </w:tbl>
    <w:p w:rsidR="00CC2FB3" w:rsidRPr="00EF71D5" w:rsidRDefault="00CC2FB3" w:rsidP="00A851DA">
      <w:pPr>
        <w:rPr>
          <w:b/>
        </w:rPr>
      </w:pPr>
    </w:p>
    <w:p w:rsidR="00443E6F" w:rsidRPr="00EF71D5" w:rsidRDefault="00527C11" w:rsidP="00A851DA">
      <w:pPr>
        <w:rPr>
          <w:b/>
          <w:sz w:val="28"/>
        </w:rPr>
      </w:pPr>
      <w:r w:rsidRPr="00EF71D5">
        <w:rPr>
          <w:b/>
          <w:sz w:val="28"/>
        </w:rPr>
        <w:t>Marking Criteria:</w:t>
      </w:r>
    </w:p>
    <w:p w:rsidR="00443E6F" w:rsidRPr="00EF71D5" w:rsidRDefault="00527C11" w:rsidP="00A851DA">
      <w:r w:rsidRPr="00EF71D5">
        <w:rPr>
          <w:b/>
        </w:rPr>
        <w:t xml:space="preserve"> </w:t>
      </w:r>
      <w:r w:rsidRPr="00EF71D5">
        <w:t>We expect the learner</w:t>
      </w:r>
      <w:r w:rsidR="00443E6F" w:rsidRPr="00EF71D5">
        <w:t>s</w:t>
      </w:r>
      <w:r w:rsidRPr="00EF71D5">
        <w:t xml:space="preserve"> to write minimum one well expressed point in</w:t>
      </w:r>
      <w:r w:rsidR="00443E6F" w:rsidRPr="00EF71D5">
        <w:t xml:space="preserve"> </w:t>
      </w:r>
      <w:r w:rsidRPr="00EF71D5">
        <w:t>three lines</w:t>
      </w:r>
      <w:r w:rsidR="00443E6F" w:rsidRPr="00EF71D5">
        <w:t xml:space="preserve"> against each allocated mark. This means one need</w:t>
      </w:r>
      <w:r w:rsidR="009E41F4" w:rsidRPr="00EF71D5">
        <w:t>s</w:t>
      </w:r>
      <w:r w:rsidR="00443E6F" w:rsidRPr="00EF71D5">
        <w:t xml:space="preserve"> to write 15 lines with </w:t>
      </w:r>
      <w:r w:rsidR="00402786" w:rsidRPr="00EF71D5">
        <w:t>5 well expressed</w:t>
      </w:r>
      <w:r w:rsidR="00443E6F" w:rsidRPr="00EF71D5">
        <w:t xml:space="preserve"> points to get high grades for a 5 marks question.</w:t>
      </w:r>
    </w:p>
    <w:p w:rsidR="00527C11" w:rsidRPr="00EF71D5" w:rsidRDefault="00687EE8" w:rsidP="00A851DA">
      <w:r w:rsidRPr="00EF71D5">
        <w:t xml:space="preserve">For high grades use </w:t>
      </w:r>
      <w:r w:rsidR="00527C11" w:rsidRPr="00EF71D5">
        <w:t xml:space="preserve">examples and illustrations </w:t>
      </w:r>
      <w:r w:rsidR="00443E6F" w:rsidRPr="00EF71D5">
        <w:t>where appropriate</w:t>
      </w:r>
      <w:r w:rsidRPr="00EF71D5">
        <w:t>.</w:t>
      </w:r>
      <w:r w:rsidR="00443E6F" w:rsidRPr="00EF71D5">
        <w:t xml:space="preserve"> </w:t>
      </w:r>
    </w:p>
    <w:tbl>
      <w:tblPr>
        <w:tblStyle w:val="TableGrid"/>
        <w:tblW w:w="0" w:type="auto"/>
        <w:tblLook w:val="04A0" w:firstRow="1" w:lastRow="0" w:firstColumn="1" w:lastColumn="0" w:noHBand="0" w:noVBand="1"/>
      </w:tblPr>
      <w:tblGrid>
        <w:gridCol w:w="9016"/>
      </w:tblGrid>
      <w:tr w:rsidR="00CC2FB3" w:rsidRPr="00EF71D5" w:rsidTr="00CC2FB3">
        <w:tc>
          <w:tcPr>
            <w:tcW w:w="9242" w:type="dxa"/>
          </w:tcPr>
          <w:p w:rsidR="00EF71D5" w:rsidRPr="00EF71D5" w:rsidRDefault="00EF71D5" w:rsidP="00EF71D5">
            <w:pPr>
              <w:pStyle w:val="ListParagraph"/>
              <w:numPr>
                <w:ilvl w:val="0"/>
                <w:numId w:val="2"/>
              </w:numPr>
              <w:spacing w:after="160" w:line="259" w:lineRule="auto"/>
              <w:rPr>
                <w:b/>
                <w:i/>
                <w:lang w:val="en-GB"/>
              </w:rPr>
            </w:pPr>
            <w:r w:rsidRPr="00EF71D5">
              <w:rPr>
                <w:b/>
                <w:i/>
                <w:lang w:val="en-GB"/>
              </w:rPr>
              <w:t>Give short answers to the following questions:</w:t>
            </w:r>
          </w:p>
          <w:p w:rsidR="00EF71D5" w:rsidRPr="00EF71D5" w:rsidRDefault="00EF71D5" w:rsidP="00EF71D5">
            <w:pPr>
              <w:pStyle w:val="ListParagraph"/>
              <w:numPr>
                <w:ilvl w:val="0"/>
                <w:numId w:val="3"/>
              </w:numPr>
              <w:spacing w:after="160" w:line="259" w:lineRule="auto"/>
              <w:rPr>
                <w:b/>
                <w:i/>
                <w:lang w:val="en-GB"/>
              </w:rPr>
            </w:pPr>
            <w:r w:rsidRPr="00EF71D5">
              <w:rPr>
                <w:b/>
                <w:i/>
                <w:lang w:val="en-GB"/>
              </w:rPr>
              <w:t>What is Computer Forensics?</w:t>
            </w:r>
          </w:p>
          <w:p w:rsidR="00EF71D5" w:rsidRPr="00EF71D5" w:rsidRDefault="00EF71D5" w:rsidP="00EF71D5">
            <w:pPr>
              <w:rPr>
                <w:lang w:val="en-GB"/>
              </w:rPr>
            </w:pPr>
            <w:r w:rsidRPr="00EF71D5">
              <w:rPr>
                <w:lang w:val="en-GB"/>
              </w:rPr>
              <w:t xml:space="preserve">The formal definition of computer forensics, as stated by the U.S. Department of Justice, as “the use of scientifically derived and proven methods toward the preservation, collection, validation, identification, analysis, interpretation, documentation and presentation of digital evidence derived from digital sources for the purpose of facilitating or furthering the reconstruction of events.” In the UK there is no formal definition of computer forensics, but the parliamentary working definition of Digital Forensics is the process of “obtaining, analysing and using digital evidence in investigations or criminal proceedings” and the “process by which information is extracted from data storage media (e.g. devices, systems associated with computing, …), rendered into a useable form, processed and interpreted for the purpose of obtaining intelligence for use in investigations, or evidence for use in criminal proceedings”. From these definitions it can be inferred that computer/digital forensics involve the action of evaluating digital activity on a device. In financial crime investigations, computer forensics play a very important part as mainly all financial transactions nowadays leave some form of digital footprint. </w:t>
            </w:r>
          </w:p>
          <w:p w:rsidR="00EF71D5" w:rsidRPr="00EF71D5" w:rsidRDefault="00EF71D5" w:rsidP="00EF71D5">
            <w:pPr>
              <w:pStyle w:val="ListParagraph"/>
              <w:numPr>
                <w:ilvl w:val="0"/>
                <w:numId w:val="3"/>
              </w:numPr>
              <w:spacing w:before="240" w:after="160" w:line="259" w:lineRule="auto"/>
              <w:rPr>
                <w:b/>
                <w:i/>
                <w:lang w:val="en-GB"/>
              </w:rPr>
            </w:pPr>
            <w:r w:rsidRPr="00EF71D5">
              <w:rPr>
                <w:b/>
                <w:i/>
                <w:lang w:val="en-GB"/>
              </w:rPr>
              <w:t xml:space="preserve">Why are computer forensic engagements carried out? </w:t>
            </w:r>
          </w:p>
          <w:p w:rsidR="00EF71D5" w:rsidRPr="00EF71D5" w:rsidRDefault="00EF71D5" w:rsidP="00EF71D5">
            <w:pPr>
              <w:rPr>
                <w:lang w:val="en-GB"/>
              </w:rPr>
            </w:pPr>
            <w:r w:rsidRPr="00EF71D5">
              <w:rPr>
                <w:lang w:val="en-GB"/>
              </w:rPr>
              <w:t xml:space="preserve">Digital forensics are essential in a fraud/financial crime investigation. Using computer forensic methods the chance of a successful outcome is greatly enhanced. For example, key players can be identified more easily and the investigator can rapidly gain an understanding of the information that they have had access to, i.e. digital forensics can thus help to quickly elucidate big pieces of the puzzle that essentially is every fraud. In addition to tracing access information, audit trails, transactions and cover ups, digital forensics also makes use of both public and private databases, often accessible through the Internet. This means that information that the fraudster may have through was deleted, can be restored and investigated, and new information can be found through independent research. </w:t>
            </w:r>
          </w:p>
          <w:p w:rsidR="00EF71D5" w:rsidRPr="00EF71D5" w:rsidRDefault="00EF71D5" w:rsidP="00EF71D5">
            <w:pPr>
              <w:pStyle w:val="ListParagraph"/>
              <w:numPr>
                <w:ilvl w:val="0"/>
                <w:numId w:val="3"/>
              </w:numPr>
              <w:spacing w:after="160" w:line="259" w:lineRule="auto"/>
              <w:rPr>
                <w:b/>
                <w:i/>
                <w:lang w:val="en-GB"/>
              </w:rPr>
            </w:pPr>
            <w:r w:rsidRPr="00EF71D5">
              <w:rPr>
                <w:b/>
                <w:i/>
                <w:lang w:val="en-GB"/>
              </w:rPr>
              <w:lastRenderedPageBreak/>
              <w:t xml:space="preserve">Name some sources from which data can be retrieved. </w:t>
            </w:r>
          </w:p>
          <w:p w:rsidR="00EF71D5" w:rsidRPr="00EF71D5" w:rsidRDefault="00EF71D5" w:rsidP="00EF71D5">
            <w:pPr>
              <w:rPr>
                <w:lang w:val="en-GB"/>
              </w:rPr>
            </w:pPr>
            <w:r w:rsidRPr="00EF71D5">
              <w:rPr>
                <w:lang w:val="en-GB"/>
              </w:rPr>
              <w:t xml:space="preserve">Basically any device that can store data provides a basis from which data can be retrieved forensically. Examples include laptops, workstations, printers, removable HDD, storage disks (CDs, DVDs, USBs, microSDs), servers, fax and copying machines, tapes, telephones, mobile phones, MP3 players, smart drives and cloud devices. Additionally, it is also possible to retrieve information from purely “passive” devices such as credit and debit cards.  </w:t>
            </w:r>
          </w:p>
          <w:p w:rsidR="00EF71D5" w:rsidRPr="00EF71D5" w:rsidRDefault="00EF71D5" w:rsidP="00EF71D5">
            <w:pPr>
              <w:pStyle w:val="ListParagraph"/>
              <w:numPr>
                <w:ilvl w:val="0"/>
                <w:numId w:val="3"/>
              </w:numPr>
              <w:spacing w:before="240" w:after="160" w:line="259" w:lineRule="auto"/>
              <w:rPr>
                <w:b/>
                <w:i/>
                <w:lang w:val="en-GB"/>
              </w:rPr>
            </w:pPr>
            <w:r w:rsidRPr="00EF71D5">
              <w:rPr>
                <w:b/>
                <w:i/>
                <w:lang w:val="en-GB"/>
              </w:rPr>
              <w:t xml:space="preserve">Explain the characteristics of a computer forensic analysis. </w:t>
            </w:r>
          </w:p>
          <w:p w:rsidR="00EF71D5" w:rsidRPr="00EF71D5" w:rsidRDefault="00EF71D5" w:rsidP="00EF71D5">
            <w:pPr>
              <w:rPr>
                <w:rFonts w:ascii="Calibri" w:hAnsi="Calibri" w:cs="Calibri"/>
                <w:color w:val="0D0D0D"/>
                <w:sz w:val="24"/>
                <w:szCs w:val="24"/>
                <w:lang w:val="en-GB"/>
              </w:rPr>
            </w:pPr>
            <w:r w:rsidRPr="00EF71D5">
              <w:rPr>
                <w:lang w:val="en-GB"/>
              </w:rPr>
              <w:t xml:space="preserve">A computer forensic analysis must have a scientific basis and thus be presented with the purpose of applying sound methodologies allowing replication. Practices and methods that are being used must be well-established, or if they are novel, be presented with sufficient scientific rigour to withstand counter-arguments and re-testing with established methodologies (if possible), and expert witnesses may be called to provide evidence as to the reliability and efficacy of the novel method employed. Software used must be established in the realm of the forensic profession, or for novel methods as discussed above. Results must always be reproducible and everything must be documented in significant detail, to the point where any court-appointed investigator can easily follow and reproduce the method. </w:t>
            </w:r>
          </w:p>
          <w:p w:rsidR="00EF71D5" w:rsidRPr="00EF71D5" w:rsidRDefault="00EF71D5" w:rsidP="00EF71D5">
            <w:pPr>
              <w:pStyle w:val="ListParagraph"/>
              <w:numPr>
                <w:ilvl w:val="0"/>
                <w:numId w:val="3"/>
              </w:numPr>
              <w:spacing w:before="240" w:after="160" w:line="259" w:lineRule="auto"/>
              <w:rPr>
                <w:b/>
                <w:i/>
                <w:lang w:val="en-GB"/>
              </w:rPr>
            </w:pPr>
            <w:r w:rsidRPr="00EF71D5">
              <w:rPr>
                <w:b/>
                <w:i/>
                <w:lang w:val="en-GB"/>
              </w:rPr>
              <w:t>What are the benefits of data analysis?</w:t>
            </w:r>
          </w:p>
          <w:p w:rsidR="00EF71D5" w:rsidRPr="00EF71D5" w:rsidRDefault="00EF71D5" w:rsidP="00EF71D5">
            <w:pPr>
              <w:rPr>
                <w:lang w:val="en-GB"/>
              </w:rPr>
            </w:pPr>
            <w:r w:rsidRPr="00EF71D5">
              <w:rPr>
                <w:lang w:val="en-GB"/>
              </w:rPr>
              <w:t xml:space="preserve">Digital forensics also allows the investigator to evaluate and investigate a large quantity of information and entries. Financial crime investigations are information-heavy and the bulk of evidence in this type of case will be data that has at some point been digitally stored. In today’s world, where all business runs faster and faster, it would be nearly impossible to carry out and finalise a financial crime investigation without computer-assisted data analyses techniques. Using advanced software the evidential hit rate increases as all transactions can be analysed and more sources can be used. Data-mining, i.e. using mathematical algorithms to search through large databases, now plays a large role in any investigation, and </w:t>
            </w:r>
            <w:r w:rsidRPr="00EF71D5">
              <w:rPr>
                <w:rFonts w:ascii="Calibri" w:hAnsi="Calibri" w:cs="Calibri"/>
                <w:color w:val="0D0D0D"/>
                <w:sz w:val="24"/>
                <w:szCs w:val="24"/>
                <w:lang w:val="en-GB"/>
              </w:rPr>
              <w:t xml:space="preserve">analyses can be integrated into the data-mining process so that these are done at the same stage, rather than all data of interest being extracted and then undergoing separate analyses. The combination of data-mining and data analyses allows the investigator to more rapidly gain an understanding of the scale of anomalies that are present and give a data-centred perspective on the fraud. Note that there may be false indications of fraud in any data-mining process, so the investigator must bear this in mind when they are analysing the data and furthering the investigation. </w:t>
            </w:r>
            <w:r w:rsidRPr="00EF71D5">
              <w:rPr>
                <w:lang w:val="en-GB"/>
              </w:rPr>
              <w:t xml:space="preserve"> </w:t>
            </w:r>
          </w:p>
          <w:p w:rsidR="00EF71D5" w:rsidRPr="00EF71D5" w:rsidRDefault="00EF71D5" w:rsidP="00EF71D5">
            <w:pPr>
              <w:pStyle w:val="ListParagraph"/>
              <w:numPr>
                <w:ilvl w:val="0"/>
                <w:numId w:val="2"/>
              </w:numPr>
              <w:spacing w:before="240" w:after="160" w:line="259" w:lineRule="auto"/>
              <w:rPr>
                <w:b/>
                <w:i/>
                <w:lang w:val="en-GB"/>
              </w:rPr>
            </w:pPr>
            <w:r w:rsidRPr="00EF71D5">
              <w:rPr>
                <w:b/>
                <w:i/>
                <w:lang w:val="en-GB"/>
              </w:rPr>
              <w:t xml:space="preserve">What are the legal factors that should be considered before starting computer forensic engagements?  </w:t>
            </w:r>
          </w:p>
          <w:p w:rsidR="00EF71D5" w:rsidRPr="00EF71D5" w:rsidRDefault="00EF71D5" w:rsidP="00EF71D5">
            <w:pPr>
              <w:rPr>
                <w:lang w:val="en-GB"/>
              </w:rPr>
            </w:pPr>
            <w:r w:rsidRPr="00EF71D5">
              <w:rPr>
                <w:lang w:val="en-GB"/>
              </w:rPr>
              <w:t xml:space="preserve">Legal factors that must be considered before a digital forensic investigation is undertaken can be summarised into the following points: </w:t>
            </w:r>
          </w:p>
          <w:p w:rsidR="00EF71D5" w:rsidRPr="00EF71D5" w:rsidRDefault="00EF71D5" w:rsidP="00EF71D5">
            <w:pPr>
              <w:pStyle w:val="ListParagraph"/>
              <w:numPr>
                <w:ilvl w:val="0"/>
                <w:numId w:val="4"/>
              </w:numPr>
              <w:spacing w:after="160" w:line="259" w:lineRule="auto"/>
              <w:rPr>
                <w:lang w:val="en-GB"/>
              </w:rPr>
            </w:pPr>
            <w:r w:rsidRPr="00EF71D5">
              <w:rPr>
                <w:lang w:val="en-GB"/>
              </w:rPr>
              <w:t>Has a subpoena been issued and does this actually allow the collection of the data that is being proposed to be collected?</w:t>
            </w:r>
          </w:p>
          <w:p w:rsidR="00EF71D5" w:rsidRPr="00EF71D5" w:rsidRDefault="00EF71D5" w:rsidP="00EF71D5">
            <w:pPr>
              <w:pStyle w:val="ListParagraph"/>
              <w:numPr>
                <w:ilvl w:val="0"/>
                <w:numId w:val="4"/>
              </w:numPr>
              <w:spacing w:after="160" w:line="259" w:lineRule="auto"/>
              <w:rPr>
                <w:lang w:val="en-GB"/>
              </w:rPr>
            </w:pPr>
            <w:r w:rsidRPr="00EF71D5">
              <w:rPr>
                <w:lang w:val="en-GB"/>
              </w:rPr>
              <w:t xml:space="preserve">Will the investigators have access to legal counsel during the collection and analyses? </w:t>
            </w:r>
          </w:p>
          <w:p w:rsidR="00EF71D5" w:rsidRPr="00EF71D5" w:rsidRDefault="00EF71D5" w:rsidP="00EF71D5">
            <w:pPr>
              <w:pStyle w:val="ListParagraph"/>
              <w:numPr>
                <w:ilvl w:val="0"/>
                <w:numId w:val="4"/>
              </w:numPr>
              <w:spacing w:after="160" w:line="259" w:lineRule="auto"/>
              <w:rPr>
                <w:lang w:val="en-GB"/>
              </w:rPr>
            </w:pPr>
            <w:r w:rsidRPr="00EF71D5">
              <w:rPr>
                <w:lang w:val="en-GB"/>
              </w:rPr>
              <w:t>Will an expert be available and is this person adequately qualified and licensed? Will this person hold up in court?</w:t>
            </w:r>
          </w:p>
          <w:p w:rsidR="00EF71D5" w:rsidRPr="00EF71D5" w:rsidRDefault="00EF71D5" w:rsidP="00EF71D5">
            <w:pPr>
              <w:pStyle w:val="ListParagraph"/>
              <w:numPr>
                <w:ilvl w:val="0"/>
                <w:numId w:val="4"/>
              </w:numPr>
              <w:spacing w:after="160" w:line="259" w:lineRule="auto"/>
              <w:rPr>
                <w:lang w:val="en-GB"/>
              </w:rPr>
            </w:pPr>
            <w:r w:rsidRPr="00EF71D5">
              <w:rPr>
                <w:lang w:val="en-GB"/>
              </w:rPr>
              <w:t xml:space="preserve">Can the evidence collected be submitted to court, i.e. has it been collected in adherence with the principles of a forensic investigation and treated as evidence to be submitted with regards to chain of custody, legal authority et cetera? </w:t>
            </w:r>
          </w:p>
          <w:p w:rsidR="00EF71D5" w:rsidRPr="00EF71D5" w:rsidRDefault="00EF71D5" w:rsidP="00EF71D5">
            <w:pPr>
              <w:pStyle w:val="ListParagraph"/>
              <w:numPr>
                <w:ilvl w:val="0"/>
                <w:numId w:val="4"/>
              </w:numPr>
              <w:spacing w:after="160" w:line="259" w:lineRule="auto"/>
              <w:rPr>
                <w:lang w:val="en-GB"/>
              </w:rPr>
            </w:pPr>
            <w:r w:rsidRPr="00EF71D5">
              <w:rPr>
                <w:lang w:val="en-GB"/>
              </w:rPr>
              <w:lastRenderedPageBreak/>
              <w:t xml:space="preserve">Are there international or foreign laws and policies to take into account with regards to collected data? </w:t>
            </w:r>
          </w:p>
          <w:p w:rsidR="00EF71D5" w:rsidRPr="00EF71D5" w:rsidRDefault="00EF71D5" w:rsidP="00EF71D5">
            <w:pPr>
              <w:pStyle w:val="ListParagraph"/>
              <w:numPr>
                <w:ilvl w:val="0"/>
                <w:numId w:val="4"/>
              </w:numPr>
              <w:spacing w:after="160" w:line="259" w:lineRule="auto"/>
              <w:rPr>
                <w:lang w:val="en-GB"/>
              </w:rPr>
            </w:pPr>
            <w:r w:rsidRPr="00EF71D5">
              <w:rPr>
                <w:lang w:val="en-GB"/>
              </w:rPr>
              <w:t xml:space="preserve">Are there any privacy concerns? Is there a chance that individuals who fall completely outside of the investigation may be negatively impacted by the data collection? </w:t>
            </w:r>
          </w:p>
          <w:p w:rsidR="00EF71D5" w:rsidRPr="00EF71D5" w:rsidRDefault="00EF71D5" w:rsidP="00EF71D5">
            <w:pPr>
              <w:pStyle w:val="ListParagraph"/>
              <w:numPr>
                <w:ilvl w:val="0"/>
                <w:numId w:val="4"/>
              </w:numPr>
              <w:spacing w:after="160" w:line="259" w:lineRule="auto"/>
              <w:rPr>
                <w:lang w:val="en-GB"/>
              </w:rPr>
            </w:pPr>
            <w:r w:rsidRPr="00EF71D5">
              <w:rPr>
                <w:lang w:val="en-GB"/>
              </w:rPr>
              <w:t xml:space="preserve">Is the investigation and collection of data appropriately restricted legally? Is it too restricted to achieve a successful outcome? </w:t>
            </w:r>
          </w:p>
          <w:p w:rsidR="00EF71D5" w:rsidRDefault="00EF71D5" w:rsidP="00EF71D5">
            <w:pPr>
              <w:pStyle w:val="ListParagraph"/>
              <w:numPr>
                <w:ilvl w:val="0"/>
                <w:numId w:val="4"/>
              </w:numPr>
              <w:spacing w:after="160" w:line="259" w:lineRule="auto"/>
              <w:rPr>
                <w:lang w:val="en-GB"/>
              </w:rPr>
            </w:pPr>
            <w:r w:rsidRPr="00EF71D5">
              <w:rPr>
                <w:lang w:val="en-GB"/>
              </w:rPr>
              <w:t xml:space="preserve">Is there a risk that other incriminating evidence may be found during the discovery phase and/or the data mining process? </w:t>
            </w:r>
          </w:p>
          <w:p w:rsidR="00EF71D5" w:rsidRPr="00EF71D5" w:rsidRDefault="00EF71D5" w:rsidP="00EF71D5">
            <w:pPr>
              <w:pStyle w:val="ListParagraph"/>
              <w:spacing w:after="160" w:line="259" w:lineRule="auto"/>
              <w:ind w:left="454"/>
              <w:rPr>
                <w:b/>
                <w:lang w:val="en-GB"/>
              </w:rPr>
            </w:pPr>
          </w:p>
          <w:p w:rsidR="00EF71D5" w:rsidRPr="00EF71D5" w:rsidRDefault="00EF71D5" w:rsidP="00EF71D5">
            <w:pPr>
              <w:pStyle w:val="ListParagraph"/>
              <w:numPr>
                <w:ilvl w:val="0"/>
                <w:numId w:val="2"/>
              </w:numPr>
              <w:spacing w:before="240" w:after="160" w:line="259" w:lineRule="auto"/>
              <w:rPr>
                <w:b/>
                <w:i/>
                <w:lang w:val="en-GB"/>
              </w:rPr>
            </w:pPr>
            <w:r w:rsidRPr="00EF71D5">
              <w:rPr>
                <w:b/>
                <w:i/>
                <w:lang w:val="en-GB"/>
              </w:rPr>
              <w:t xml:space="preserve">What tools are used by forensic accounts for data analysis?  </w:t>
            </w:r>
          </w:p>
          <w:p w:rsidR="00EF71D5" w:rsidRPr="00EF71D5" w:rsidRDefault="00EF71D5" w:rsidP="00EF71D5">
            <w:pPr>
              <w:rPr>
                <w:lang w:val="en-GB"/>
              </w:rPr>
            </w:pPr>
            <w:r w:rsidRPr="00EF71D5">
              <w:rPr>
                <w:lang w:val="en-GB"/>
              </w:rPr>
              <w:t xml:space="preserve">Naturally, the forensic accountant needs to be data proficient and computer literate. A good understanding of how accounting software works is necessary, albeit most accounting software follow similar data patterns, just have different interfaces. Intermediate, if not advanced, understanding and capabilities in basic data software such as Excel and Access is essential. Add-on analysis software that can be integrated with Excel or other Microsoft products is usually a good starting point for users who may not be experts in data analysis with the Microsoft suite, e.g. the built in Microsoft analysis toolboxes or ActiveData are examples of this. Advanced data analysis software such as SentryOne, IDEA and ACL allows for comprehensive data analyses that can be tweaked to fit many specific investigation activities. However, it is also worth noting that while there are a number of good all-round digital financial forensic software platforms, it may be necessary to have custom-built programmes or speciality software for certain types of analyses. Additionally, sometimes using software that is based on a different type of OS platform can provide fruitful in terms of accumulating data and gaining an additional angle of analysis, e.g. the KALI platform, which is based on the LINUX OS and was originally designed for penetration testing, but now have a number of applications that can be used for digital forensics. </w:t>
            </w:r>
          </w:p>
          <w:p w:rsidR="00EF71D5" w:rsidRPr="00EF71D5" w:rsidRDefault="00EF71D5" w:rsidP="00EF71D5">
            <w:pPr>
              <w:pStyle w:val="ListParagraph"/>
              <w:numPr>
                <w:ilvl w:val="0"/>
                <w:numId w:val="2"/>
              </w:numPr>
              <w:spacing w:before="240" w:after="160" w:line="259" w:lineRule="auto"/>
              <w:rPr>
                <w:b/>
                <w:i/>
                <w:lang w:val="en-GB"/>
              </w:rPr>
            </w:pPr>
            <w:r w:rsidRPr="00EF71D5">
              <w:rPr>
                <w:b/>
                <w:i/>
                <w:lang w:val="en-GB"/>
              </w:rPr>
              <w:t xml:space="preserve">What is a chain of custody form? What type of information does this contain? </w:t>
            </w:r>
          </w:p>
          <w:p w:rsidR="00EF71D5" w:rsidRPr="00EF71D5" w:rsidRDefault="00EF71D5" w:rsidP="00EF71D5">
            <w:pPr>
              <w:rPr>
                <w:lang w:val="en-GB"/>
              </w:rPr>
            </w:pPr>
            <w:r w:rsidRPr="00EF71D5">
              <w:rPr>
                <w:lang w:val="en-GB"/>
              </w:rPr>
              <w:t xml:space="preserve">A chain of custody form is a document, and therefore a paper trail, that details the evidence collected in terms of seizure, custody, control, transfer, analysis, disposition and storage. Electronic information is just as important as physical evidence and must be handled appropriately to be admissible in court. The forensic accountant should ensure that the chain of custody form at least presents the following information: </w:t>
            </w:r>
          </w:p>
          <w:p w:rsidR="00EF71D5" w:rsidRPr="00EF71D5" w:rsidRDefault="00EF71D5" w:rsidP="00EF71D5">
            <w:pPr>
              <w:pStyle w:val="ListParagraph"/>
              <w:numPr>
                <w:ilvl w:val="0"/>
                <w:numId w:val="5"/>
              </w:numPr>
              <w:spacing w:after="160" w:line="259" w:lineRule="auto"/>
              <w:rPr>
                <w:lang w:val="en-GB"/>
              </w:rPr>
            </w:pPr>
            <w:r w:rsidRPr="00EF71D5">
              <w:rPr>
                <w:lang w:val="en-GB"/>
              </w:rPr>
              <w:t xml:space="preserve">Names and signatures of those who has identified, collected and handled the evidence. </w:t>
            </w:r>
          </w:p>
          <w:p w:rsidR="00EF71D5" w:rsidRPr="00EF71D5" w:rsidRDefault="00EF71D5" w:rsidP="00EF71D5">
            <w:pPr>
              <w:pStyle w:val="ListParagraph"/>
              <w:numPr>
                <w:ilvl w:val="0"/>
                <w:numId w:val="5"/>
              </w:numPr>
              <w:spacing w:after="160" w:line="259" w:lineRule="auto"/>
              <w:rPr>
                <w:lang w:val="en-GB"/>
              </w:rPr>
            </w:pPr>
            <w:r w:rsidRPr="00EF71D5">
              <w:rPr>
                <w:lang w:val="en-GB"/>
              </w:rPr>
              <w:t xml:space="preserve">The exact physical location of each device, including address, room number and position. </w:t>
            </w:r>
          </w:p>
          <w:p w:rsidR="00EF71D5" w:rsidRPr="00EF71D5" w:rsidRDefault="00EF71D5" w:rsidP="00EF71D5">
            <w:pPr>
              <w:pStyle w:val="ListParagraph"/>
              <w:numPr>
                <w:ilvl w:val="0"/>
                <w:numId w:val="5"/>
              </w:numPr>
              <w:spacing w:after="160" w:line="259" w:lineRule="auto"/>
              <w:rPr>
                <w:lang w:val="en-GB"/>
              </w:rPr>
            </w:pPr>
            <w:r w:rsidRPr="00EF71D5">
              <w:rPr>
                <w:lang w:val="en-GB"/>
              </w:rPr>
              <w:t>Condition, description, technical and manufacturing specification of each piece of evidence.</w:t>
            </w:r>
          </w:p>
          <w:p w:rsidR="00EF71D5" w:rsidRPr="00EF71D5" w:rsidRDefault="00EF71D5" w:rsidP="00EF71D5">
            <w:pPr>
              <w:pStyle w:val="ListParagraph"/>
              <w:numPr>
                <w:ilvl w:val="0"/>
                <w:numId w:val="5"/>
              </w:numPr>
              <w:spacing w:after="160" w:line="259" w:lineRule="auto"/>
              <w:rPr>
                <w:lang w:val="en-GB"/>
              </w:rPr>
            </w:pPr>
            <w:r w:rsidRPr="00EF71D5">
              <w:rPr>
                <w:lang w:val="en-GB"/>
              </w:rPr>
              <w:t xml:space="preserve">Date and time of collection for each piece of evidence. </w:t>
            </w:r>
          </w:p>
          <w:p w:rsidR="00EF71D5" w:rsidRPr="00EF71D5" w:rsidRDefault="00EF71D5" w:rsidP="00EF71D5">
            <w:pPr>
              <w:pStyle w:val="ListParagraph"/>
              <w:numPr>
                <w:ilvl w:val="0"/>
                <w:numId w:val="5"/>
              </w:numPr>
              <w:spacing w:after="160" w:line="259" w:lineRule="auto"/>
              <w:rPr>
                <w:lang w:val="en-GB"/>
              </w:rPr>
            </w:pPr>
            <w:r w:rsidRPr="00EF71D5">
              <w:rPr>
                <w:lang w:val="en-GB"/>
              </w:rPr>
              <w:t xml:space="preserve">Markings should be made on the evidence, WITHOUT damaging it or altering its evidential value. The markings should indicate case/project number, item number and should also be </w:t>
            </w:r>
            <w:r w:rsidRPr="00EF71D5">
              <w:rPr>
                <w:lang w:val="en-GB"/>
              </w:rPr>
              <w:t>initialled</w:t>
            </w:r>
            <w:r w:rsidRPr="00EF71D5">
              <w:rPr>
                <w:lang w:val="en-GB"/>
              </w:rPr>
              <w:t xml:space="preserve"> by the person who did the marking. </w:t>
            </w:r>
          </w:p>
          <w:p w:rsidR="00CC2FB3" w:rsidRPr="00EF71D5" w:rsidRDefault="00EF71D5" w:rsidP="00A851DA">
            <w:pPr>
              <w:rPr>
                <w:lang w:val="en-GB"/>
              </w:rPr>
            </w:pPr>
            <w:r w:rsidRPr="00EF71D5">
              <w:rPr>
                <w:lang w:val="en-GB"/>
              </w:rPr>
              <w:t xml:space="preserve">The chain of custody must be evidenced in full, preferably on the form, as the authenticity of the evidence will be called into question if the chain is broken in terms of security or identifiable handler. </w:t>
            </w:r>
          </w:p>
        </w:tc>
      </w:tr>
    </w:tbl>
    <w:p w:rsidR="00503D7E" w:rsidRPr="00EF71D5" w:rsidRDefault="00503D7E" w:rsidP="00A851DA">
      <w:pPr>
        <w:autoSpaceDE w:val="0"/>
        <w:autoSpaceDN w:val="0"/>
        <w:adjustRightInd w:val="0"/>
        <w:spacing w:after="0" w:line="240" w:lineRule="auto"/>
        <w:rPr>
          <w:rFonts w:cs="CalvertMT-Bold"/>
          <w:b/>
          <w:bCs/>
          <w:color w:val="002060"/>
          <w:sz w:val="28"/>
        </w:rPr>
      </w:pPr>
    </w:p>
    <w:p w:rsidR="00A851DA" w:rsidRPr="00EF71D5" w:rsidRDefault="00AE1481" w:rsidP="00A851DA">
      <w:pPr>
        <w:autoSpaceDE w:val="0"/>
        <w:autoSpaceDN w:val="0"/>
        <w:adjustRightInd w:val="0"/>
        <w:spacing w:after="0" w:line="240" w:lineRule="auto"/>
        <w:rPr>
          <w:rFonts w:cs="CalvertMT-Bold"/>
          <w:b/>
          <w:bCs/>
          <w:color w:val="002060"/>
          <w:sz w:val="28"/>
        </w:rPr>
      </w:pPr>
      <w:r w:rsidRPr="00EF71D5">
        <w:rPr>
          <w:rFonts w:cs="CalvertMT-Bold"/>
          <w:b/>
          <w:bCs/>
          <w:color w:val="002060"/>
          <w:sz w:val="28"/>
        </w:rPr>
        <w:t>Student</w:t>
      </w:r>
      <w:r w:rsidR="00A851DA" w:rsidRPr="00EF71D5">
        <w:rPr>
          <w:rFonts w:cs="CalvertMT-Bold"/>
          <w:b/>
          <w:bCs/>
          <w:color w:val="002060"/>
          <w:sz w:val="28"/>
        </w:rPr>
        <w:t xml:space="preserve"> Statement:</w:t>
      </w:r>
    </w:p>
    <w:p w:rsidR="00A851DA" w:rsidRPr="00EF71D5" w:rsidRDefault="00A851DA" w:rsidP="00A851DA">
      <w:pPr>
        <w:autoSpaceDE w:val="0"/>
        <w:autoSpaceDN w:val="0"/>
        <w:adjustRightInd w:val="0"/>
        <w:spacing w:after="0" w:line="240" w:lineRule="auto"/>
        <w:rPr>
          <w:rFonts w:cs="CalvertMT-Bold"/>
          <w:b/>
          <w:bCs/>
          <w:color w:val="001AE6"/>
        </w:rPr>
      </w:pPr>
    </w:p>
    <w:p w:rsidR="00A851DA" w:rsidRPr="00EF71D5" w:rsidRDefault="00405895" w:rsidP="00A851DA">
      <w:pPr>
        <w:autoSpaceDE w:val="0"/>
        <w:autoSpaceDN w:val="0"/>
        <w:adjustRightInd w:val="0"/>
        <w:spacing w:after="0" w:line="240" w:lineRule="auto"/>
        <w:rPr>
          <w:rFonts w:cs="Bliss-Regular"/>
          <w:color w:val="000000"/>
        </w:rPr>
      </w:pPr>
      <w:r w:rsidRPr="00EF71D5">
        <w:rPr>
          <w:rFonts w:cs="Bliss-Regular"/>
          <w:color w:val="000000"/>
        </w:rPr>
        <w:t>By submitting this assignment, I confirm that this is my own work.</w:t>
      </w:r>
    </w:p>
    <w:p w:rsidR="00503D7E" w:rsidRPr="00EF71D5" w:rsidRDefault="00503D7E"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255"/>
        <w:gridCol w:w="3907"/>
        <w:gridCol w:w="1248"/>
        <w:gridCol w:w="1606"/>
      </w:tblGrid>
      <w:tr w:rsidR="00405895" w:rsidRPr="00EF71D5" w:rsidTr="008E2F07">
        <w:tc>
          <w:tcPr>
            <w:tcW w:w="2255" w:type="dxa"/>
            <w:shd w:val="clear" w:color="auto" w:fill="D9D9D9" w:themeFill="background1" w:themeFillShade="D9"/>
          </w:tcPr>
          <w:p w:rsidR="00405895" w:rsidRPr="00EF71D5" w:rsidRDefault="00405895" w:rsidP="00A851DA">
            <w:pPr>
              <w:rPr>
                <w:rFonts w:cs="Bliss-Regular"/>
                <w:color w:val="000000"/>
                <w:lang w:val="en-GB"/>
              </w:rPr>
            </w:pPr>
            <w:bookmarkStart w:id="0" w:name="_GoBack"/>
            <w:bookmarkEnd w:id="0"/>
            <w:r w:rsidRPr="00EF71D5">
              <w:rPr>
                <w:rFonts w:cs="Bliss-Regular"/>
                <w:color w:val="000000"/>
                <w:lang w:val="en-GB"/>
              </w:rPr>
              <w:t>Student Signature</w:t>
            </w:r>
          </w:p>
        </w:tc>
        <w:tc>
          <w:tcPr>
            <w:tcW w:w="3907" w:type="dxa"/>
          </w:tcPr>
          <w:p w:rsidR="00405895" w:rsidRPr="00EF71D5" w:rsidRDefault="00EF71D5" w:rsidP="00A851DA">
            <w:pPr>
              <w:rPr>
                <w:rFonts w:cs="Bliss-Regular"/>
                <w:color w:val="000000"/>
                <w:lang w:val="en-GB"/>
              </w:rPr>
            </w:pPr>
            <w:r w:rsidRPr="00EF71D5">
              <w:rPr>
                <w:rFonts w:cs="Bliss-Regular"/>
                <w:color w:val="000000"/>
                <w:lang w:val="en-GB"/>
              </w:rPr>
              <w:t>Kim C Ronnqvist</w:t>
            </w:r>
          </w:p>
        </w:tc>
        <w:tc>
          <w:tcPr>
            <w:tcW w:w="1248" w:type="dxa"/>
            <w:shd w:val="clear" w:color="auto" w:fill="D9D9D9" w:themeFill="background1" w:themeFillShade="D9"/>
          </w:tcPr>
          <w:p w:rsidR="00405895" w:rsidRPr="00EF71D5" w:rsidRDefault="00405895" w:rsidP="00A851DA">
            <w:pPr>
              <w:rPr>
                <w:rFonts w:cs="Bliss-Regular"/>
                <w:color w:val="000000"/>
                <w:lang w:val="en-GB"/>
              </w:rPr>
            </w:pPr>
            <w:r w:rsidRPr="00EF71D5">
              <w:rPr>
                <w:rFonts w:cs="Bliss-Regular"/>
                <w:color w:val="000000"/>
                <w:lang w:val="en-GB"/>
              </w:rPr>
              <w:t>Date</w:t>
            </w:r>
          </w:p>
        </w:tc>
        <w:tc>
          <w:tcPr>
            <w:tcW w:w="1606" w:type="dxa"/>
          </w:tcPr>
          <w:p w:rsidR="00405895" w:rsidRPr="00EF71D5" w:rsidRDefault="00EF71D5" w:rsidP="00A851DA">
            <w:pPr>
              <w:rPr>
                <w:rFonts w:cs="Bliss-Regular"/>
                <w:color w:val="000000"/>
                <w:lang w:val="en-GB"/>
              </w:rPr>
            </w:pPr>
            <w:r w:rsidRPr="00EF71D5">
              <w:rPr>
                <w:rFonts w:cs="Bliss-Regular"/>
                <w:color w:val="000000"/>
                <w:lang w:val="en-GB"/>
              </w:rPr>
              <w:t>22/12/2017</w:t>
            </w:r>
          </w:p>
        </w:tc>
      </w:tr>
    </w:tbl>
    <w:p w:rsidR="00A851DA" w:rsidRPr="00EF71D5" w:rsidRDefault="00503D7E" w:rsidP="00503D7E">
      <w:pPr>
        <w:shd w:val="clear" w:color="auto" w:fill="D9D9D9" w:themeFill="background1" w:themeFillShade="D9"/>
        <w:rPr>
          <w:b/>
          <w:sz w:val="32"/>
        </w:rPr>
      </w:pPr>
      <w:r w:rsidRPr="00EF71D5">
        <w:rPr>
          <w:b/>
          <w:sz w:val="28"/>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EF71D5" w:rsidTr="00B0415E">
        <w:trPr>
          <w:trHeight w:val="249"/>
        </w:trPr>
        <w:tc>
          <w:tcPr>
            <w:tcW w:w="4621" w:type="dxa"/>
            <w:shd w:val="clear" w:color="auto" w:fill="D9D9D9" w:themeFill="background1" w:themeFillShade="D9"/>
          </w:tcPr>
          <w:p w:rsidR="00503D7E" w:rsidRPr="00EF71D5" w:rsidRDefault="00503D7E" w:rsidP="00503D7E">
            <w:pPr>
              <w:rPr>
                <w:b/>
                <w:color w:val="002060"/>
                <w:lang w:val="en-GB"/>
              </w:rPr>
            </w:pPr>
            <w:r w:rsidRPr="00EF71D5">
              <w:rPr>
                <w:b/>
                <w:color w:val="002060"/>
                <w:lang w:val="en-GB"/>
              </w:rPr>
              <w:t>Total Marks</w:t>
            </w:r>
          </w:p>
        </w:tc>
        <w:tc>
          <w:tcPr>
            <w:tcW w:w="4621" w:type="dxa"/>
          </w:tcPr>
          <w:p w:rsidR="00503D7E" w:rsidRPr="00EF71D5" w:rsidRDefault="00503D7E" w:rsidP="00503D7E">
            <w:pPr>
              <w:rPr>
                <w:rFonts w:cs="Times New Roman"/>
                <w:szCs w:val="32"/>
                <w:lang w:val="en-GB"/>
              </w:rPr>
            </w:pPr>
          </w:p>
        </w:tc>
      </w:tr>
      <w:tr w:rsidR="00503D7E" w:rsidRPr="00EF71D5" w:rsidTr="00B0415E">
        <w:tc>
          <w:tcPr>
            <w:tcW w:w="4621" w:type="dxa"/>
            <w:shd w:val="clear" w:color="auto" w:fill="D9D9D9" w:themeFill="background1" w:themeFillShade="D9"/>
          </w:tcPr>
          <w:p w:rsidR="00503D7E" w:rsidRPr="00EF71D5" w:rsidRDefault="00503D7E" w:rsidP="00503D7E">
            <w:pPr>
              <w:rPr>
                <w:b/>
                <w:color w:val="002060"/>
                <w:lang w:val="en-GB"/>
              </w:rPr>
            </w:pPr>
            <w:r w:rsidRPr="00EF71D5">
              <w:rPr>
                <w:b/>
                <w:color w:val="002060"/>
                <w:lang w:val="en-GB"/>
              </w:rPr>
              <w:t>Marks Obtained</w:t>
            </w:r>
          </w:p>
        </w:tc>
        <w:tc>
          <w:tcPr>
            <w:tcW w:w="4621" w:type="dxa"/>
          </w:tcPr>
          <w:p w:rsidR="00503D7E" w:rsidRPr="00EF71D5" w:rsidRDefault="00503D7E" w:rsidP="00503D7E">
            <w:pPr>
              <w:rPr>
                <w:rFonts w:cs="Times New Roman"/>
                <w:szCs w:val="32"/>
                <w:lang w:val="en-GB"/>
              </w:rPr>
            </w:pPr>
          </w:p>
        </w:tc>
      </w:tr>
      <w:tr w:rsidR="00503D7E" w:rsidRPr="00EF71D5" w:rsidTr="00B0415E">
        <w:tc>
          <w:tcPr>
            <w:tcW w:w="4621" w:type="dxa"/>
            <w:shd w:val="clear" w:color="auto" w:fill="D9D9D9" w:themeFill="background1" w:themeFillShade="D9"/>
          </w:tcPr>
          <w:p w:rsidR="00503D7E" w:rsidRPr="00EF71D5" w:rsidRDefault="00B0415E" w:rsidP="00503D7E">
            <w:pPr>
              <w:rPr>
                <w:b/>
                <w:color w:val="002060"/>
                <w:lang w:val="en-GB"/>
              </w:rPr>
            </w:pPr>
            <w:r w:rsidRPr="00EF71D5">
              <w:rPr>
                <w:b/>
                <w:color w:val="002060"/>
                <w:lang w:val="en-GB"/>
              </w:rPr>
              <w:t>Percentage / Grade</w:t>
            </w:r>
          </w:p>
        </w:tc>
        <w:tc>
          <w:tcPr>
            <w:tcW w:w="4621" w:type="dxa"/>
          </w:tcPr>
          <w:p w:rsidR="00503D7E" w:rsidRPr="00EF71D5" w:rsidRDefault="00503D7E" w:rsidP="00503D7E">
            <w:pPr>
              <w:rPr>
                <w:rFonts w:cs="Times New Roman"/>
                <w:szCs w:val="32"/>
                <w:lang w:val="en-GB"/>
              </w:rPr>
            </w:pPr>
          </w:p>
        </w:tc>
      </w:tr>
    </w:tbl>
    <w:p w:rsidR="00A851DA" w:rsidRPr="00EF71D5" w:rsidRDefault="00A851DA" w:rsidP="00503D7E">
      <w:pPr>
        <w:rPr>
          <w:rFonts w:cs="Times New Roman"/>
          <w:sz w:val="24"/>
          <w:szCs w:val="32"/>
        </w:rPr>
      </w:pPr>
    </w:p>
    <w:p w:rsidR="00607874" w:rsidRPr="00EF71D5" w:rsidRDefault="00607874" w:rsidP="00503D7E">
      <w:pPr>
        <w:rPr>
          <w:rFonts w:cs="Times New Roman"/>
          <w:sz w:val="24"/>
          <w:szCs w:val="32"/>
        </w:rPr>
      </w:pPr>
    </w:p>
    <w:p w:rsidR="00607874" w:rsidRPr="00EF71D5" w:rsidRDefault="00607874" w:rsidP="00503D7E">
      <w:pPr>
        <w:rPr>
          <w:rFonts w:cs="Times New Roman"/>
          <w:sz w:val="24"/>
          <w:szCs w:val="32"/>
        </w:rPr>
      </w:pPr>
    </w:p>
    <w:p w:rsidR="00607874" w:rsidRPr="00EF71D5" w:rsidRDefault="00607874" w:rsidP="00503D7E">
      <w:pPr>
        <w:rPr>
          <w:rFonts w:cs="Times New Roman"/>
          <w:sz w:val="24"/>
          <w:szCs w:val="32"/>
        </w:rPr>
      </w:pPr>
    </w:p>
    <w:p w:rsidR="00607874" w:rsidRPr="00EF71D5" w:rsidRDefault="00607874" w:rsidP="00503D7E">
      <w:pPr>
        <w:rPr>
          <w:rFonts w:cs="Times New Roman"/>
          <w:sz w:val="24"/>
          <w:szCs w:val="32"/>
        </w:rPr>
      </w:pPr>
    </w:p>
    <w:p w:rsidR="00607874" w:rsidRPr="00EF71D5" w:rsidRDefault="00607874" w:rsidP="00503D7E">
      <w:pPr>
        <w:rPr>
          <w:rFonts w:cs="Times New Roman"/>
          <w:sz w:val="24"/>
          <w:szCs w:val="32"/>
        </w:rPr>
      </w:pPr>
    </w:p>
    <w:p w:rsidR="00607874" w:rsidRPr="00EF71D5" w:rsidRDefault="00607874" w:rsidP="00503D7E">
      <w:pPr>
        <w:rPr>
          <w:rFonts w:cs="Times New Roman"/>
          <w:sz w:val="24"/>
          <w:szCs w:val="32"/>
        </w:rPr>
      </w:pPr>
    </w:p>
    <w:p w:rsidR="00607874" w:rsidRPr="00EF71D5" w:rsidRDefault="00607874" w:rsidP="00503D7E">
      <w:pPr>
        <w:rPr>
          <w:rFonts w:cs="Times New Roman"/>
          <w:sz w:val="24"/>
          <w:szCs w:val="32"/>
        </w:rPr>
      </w:pPr>
    </w:p>
    <w:p w:rsidR="00EA30AB" w:rsidRPr="00EF71D5" w:rsidRDefault="00EA30AB" w:rsidP="00503D7E">
      <w:pPr>
        <w:rPr>
          <w:rFonts w:cs="Times New Roman"/>
          <w:sz w:val="24"/>
          <w:szCs w:val="32"/>
        </w:rPr>
      </w:pPr>
    </w:p>
    <w:p w:rsidR="00EA30AB" w:rsidRPr="00EF71D5" w:rsidRDefault="00EA30AB" w:rsidP="00503D7E">
      <w:pPr>
        <w:rPr>
          <w:rFonts w:cs="Times New Roman"/>
          <w:sz w:val="24"/>
          <w:szCs w:val="32"/>
        </w:rPr>
      </w:pPr>
    </w:p>
    <w:p w:rsidR="00EA30AB" w:rsidRPr="00EF71D5" w:rsidRDefault="00EA30AB" w:rsidP="00503D7E">
      <w:pPr>
        <w:rPr>
          <w:rFonts w:cs="Times New Roman"/>
          <w:sz w:val="24"/>
          <w:szCs w:val="32"/>
        </w:rPr>
      </w:pPr>
    </w:p>
    <w:sectPr w:rsidR="00EA30AB" w:rsidRPr="00EF71D5"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4A2F" w:rsidRDefault="00694A2F" w:rsidP="00CB4D0A">
      <w:pPr>
        <w:spacing w:after="0" w:line="240" w:lineRule="auto"/>
      </w:pPr>
      <w:r>
        <w:separator/>
      </w:r>
    </w:p>
  </w:endnote>
  <w:endnote w:type="continuationSeparator" w:id="0">
    <w:p w:rsidR="00694A2F" w:rsidRDefault="00694A2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4A2F" w:rsidRDefault="00694A2F" w:rsidP="00CB4D0A">
      <w:pPr>
        <w:spacing w:after="0" w:line="240" w:lineRule="auto"/>
      </w:pPr>
      <w:r>
        <w:separator/>
      </w:r>
    </w:p>
  </w:footnote>
  <w:footnote w:type="continuationSeparator" w:id="0">
    <w:p w:rsidR="00694A2F" w:rsidRDefault="00694A2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B4401"/>
    <w:multiLevelType w:val="hybridMultilevel"/>
    <w:tmpl w:val="4594C592"/>
    <w:lvl w:ilvl="0" w:tplc="D0BC56C0">
      <w:start w:val="1"/>
      <w:numFmt w:val="bullet"/>
      <w:lvlText w:val=""/>
      <w:lvlJc w:val="left"/>
      <w:pPr>
        <w:ind w:left="454" w:hanging="341"/>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21E1B06"/>
    <w:multiLevelType w:val="hybridMultilevel"/>
    <w:tmpl w:val="7FDEFDDC"/>
    <w:lvl w:ilvl="0" w:tplc="D0BC56C0">
      <w:start w:val="1"/>
      <w:numFmt w:val="bullet"/>
      <w:lvlText w:val=""/>
      <w:lvlJc w:val="left"/>
      <w:pPr>
        <w:ind w:left="454" w:hanging="341"/>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80E48BF"/>
    <w:multiLevelType w:val="hybridMultilevel"/>
    <w:tmpl w:val="F990AC24"/>
    <w:lvl w:ilvl="0" w:tplc="B4FCAB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D894CF8"/>
    <w:multiLevelType w:val="hybridMultilevel"/>
    <w:tmpl w:val="82ACA3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94A2F"/>
    <w:rsid w:val="0070347F"/>
    <w:rsid w:val="0070678E"/>
    <w:rsid w:val="00831C11"/>
    <w:rsid w:val="008A60B4"/>
    <w:rsid w:val="008B3C31"/>
    <w:rsid w:val="008B64FE"/>
    <w:rsid w:val="008E2F07"/>
    <w:rsid w:val="00935BF7"/>
    <w:rsid w:val="0095442C"/>
    <w:rsid w:val="00983942"/>
    <w:rsid w:val="009C37E0"/>
    <w:rsid w:val="009E41F4"/>
    <w:rsid w:val="00A14B66"/>
    <w:rsid w:val="00A65CF7"/>
    <w:rsid w:val="00A81AB4"/>
    <w:rsid w:val="00A851DA"/>
    <w:rsid w:val="00AC7D5B"/>
    <w:rsid w:val="00AE1481"/>
    <w:rsid w:val="00B0415E"/>
    <w:rsid w:val="00B04678"/>
    <w:rsid w:val="00B2580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F71D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DDF5B8B-2130-41C9-8551-6ED819E2B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6EEB53-560F-47B3-9D5A-72CC64EDD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1450</Words>
  <Characters>8266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Kim Ronnqvist</cp:lastModifiedBy>
  <cp:revision>3</cp:revision>
  <dcterms:created xsi:type="dcterms:W3CDTF">2017-12-22T09:16:00Z</dcterms:created>
  <dcterms:modified xsi:type="dcterms:W3CDTF">2017-12-22T09:16:00Z</dcterms:modified>
</cp:coreProperties>
</file>