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w:t>
      </w:r>
      <w:r w:rsidDel="00000000" w:rsidR="00000000" w:rsidRPr="00000000">
        <w:drawing>
          <wp:anchor allowOverlap="1" behindDoc="0" distB="0" distT="0" distL="114300" distR="114300" hidden="0" layoutInCell="1" locked="0" relativeHeight="0" simplePos="0">
            <wp:simplePos x="0" y="0"/>
            <wp:positionH relativeFrom="column">
              <wp:posOffset>-342896</wp:posOffset>
            </wp:positionH>
            <wp:positionV relativeFrom="paragraph">
              <wp:posOffset>-295272</wp:posOffset>
            </wp:positionV>
            <wp:extent cx="2809875" cy="1419225"/>
            <wp:effectExtent b="0" l="0" r="0" t="0"/>
            <wp:wrapNone/>
            <wp:docPr descr="BOLC_Logo" id="2" name="image2.png"/>
            <a:graphic>
              <a:graphicData uri="http://schemas.openxmlformats.org/drawingml/2006/picture">
                <pic:pic>
                  <pic:nvPicPr>
                    <pic:cNvPr descr="BOLC_Logo" id="0" name="image2.png"/>
                    <pic:cNvPicPr preferRelativeResize="0"/>
                  </pic:nvPicPr>
                  <pic:blipFill>
                    <a:blip r:embed="rId6"/>
                    <a:srcRect b="32001" l="20319" r="23667" t="20000"/>
                    <a:stretch>
                      <a:fillRect/>
                    </a:stretch>
                  </pic:blipFill>
                  <pic:spPr>
                    <a:xfrm>
                      <a:off x="0" y="0"/>
                      <a:ext cx="2809875" cy="1419225"/>
                    </a:xfrm>
                    <a:prstGeom prst="rect"/>
                    <a:ln/>
                  </pic:spPr>
                </pic:pic>
              </a:graphicData>
            </a:graphic>
          </wp:anchor>
        </w:drawing>
      </w:r>
    </w:p>
    <w:p w:rsidR="00000000" w:rsidDel="00000000" w:rsidP="00000000" w:rsidRDefault="00000000" w:rsidRPr="00000000" w14:paraId="00000001">
      <w:pPr>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2857500</wp:posOffset>
                </wp:positionH>
                <wp:positionV relativeFrom="paragraph">
                  <wp:posOffset>63500</wp:posOffset>
                </wp:positionV>
                <wp:extent cx="3142615" cy="495300"/>
                <wp:effectExtent b="0" l="0" r="0" t="0"/>
                <wp:wrapNone/>
                <wp:docPr id="1" name=""/>
                <a:graphic>
                  <a:graphicData uri="http://schemas.microsoft.com/office/word/2010/wordprocessingShape">
                    <wps:wsp>
                      <wps:cNvSpPr/>
                      <wps:cNvPr id="2" name="Shape 2"/>
                      <wps:spPr>
                        <a:xfrm>
                          <a:off x="3788980" y="3546638"/>
                          <a:ext cx="3114040" cy="466725"/>
                        </a:xfrm>
                        <a:prstGeom prst="rect">
                          <a:avLst/>
                        </a:prstGeom>
                        <a:solidFill>
                          <a:srgbClr val="FFFFFF"/>
                        </a:solidFill>
                        <a:ln>
                          <a:noFill/>
                        </a:ln>
                      </wps:spPr>
                      <wps:txbx>
                        <w:txbxContent>
                          <w:p w:rsidR="00000000" w:rsidDel="00000000" w:rsidP="00000000" w:rsidRDefault="00000000" w:rsidRPr="00000000">
                            <w:pPr>
                              <w:spacing w:after="200" w:before="0" w:line="275.9999942779541"/>
                              <w:ind w:left="0" w:right="0" w:firstLine="0"/>
                              <w:jc w:val="center"/>
                              <w:textDirection w:val="btLr"/>
                            </w:pPr>
                            <w:r w:rsidDel="00000000" w:rsidR="00000000" w:rsidRPr="00000000">
                              <w:rPr>
                                <w:rFonts w:ascii="Calibri" w:cs="Calibri" w:eastAsia="Calibri" w:hAnsi="Calibri"/>
                                <w:b w:val="0"/>
                                <w:i w:val="0"/>
                                <w:smallCaps w:val="0"/>
                                <w:strike w:val="0"/>
                                <w:color w:val="000000"/>
                                <w:sz w:val="24"/>
                                <w:vertAlign w:val="baseline"/>
                              </w:rPr>
                              <w:t xml:space="preserve">   </w:t>
                            </w:r>
                            <w:r w:rsidDel="00000000" w:rsidR="00000000" w:rsidRPr="00000000">
                              <w:rPr>
                                <w:rFonts w:ascii="Calibri" w:cs="Calibri" w:eastAsia="Calibri" w:hAnsi="Calibri"/>
                                <w:b w:val="1"/>
                                <w:i w:val="0"/>
                                <w:smallCaps w:val="0"/>
                                <w:strike w:val="0"/>
                                <w:color w:val="002060"/>
                                <w:sz w:val="44"/>
                                <w:vertAlign w:val="baseline"/>
                              </w:rPr>
                              <w:t xml:space="preserve">Assignment Cover Sheet</w:t>
                            </w:r>
                          </w:p>
                          <w:p w:rsidR="00000000" w:rsidDel="00000000" w:rsidP="00000000" w:rsidRDefault="00000000" w:rsidRPr="00000000">
                            <w:pPr>
                              <w:spacing w:after="200" w:before="0" w:line="275.9999942779541"/>
                              <w:ind w:left="0" w:right="0" w:firstLine="0"/>
                              <w:jc w:val="left"/>
                              <w:textDirection w:val="btLr"/>
                            </w:pPr>
                            <w:r w:rsidDel="00000000" w:rsidR="00000000" w:rsidRPr="00000000">
                              <w:rPr>
                                <w:rFonts w:ascii="Calibri" w:cs="Calibri" w:eastAsia="Calibri" w:hAnsi="Calibri"/>
                                <w:b w:val="1"/>
                                <w:i w:val="0"/>
                                <w:smallCaps w:val="0"/>
                                <w:strike w:val="0"/>
                                <w:color w:val="002060"/>
                                <w:sz w:val="44"/>
                                <w:vertAlign w:val="baseline"/>
                              </w:rPr>
                            </w:r>
                          </w:p>
                        </w:txbxContent>
                      </wps:txbx>
                      <wps:bodyPr anchorCtr="0" anchor="t" bIns="45700" lIns="91425" spcFirstLastPara="1" rIns="91425" wrap="square" tIns="45700"/>
                    </wps:wsp>
                  </a:graphicData>
                </a:graphic>
              </wp:anchor>
            </w:drawing>
          </mc:Choice>
          <mc:Fallback>
            <w:drawing>
              <wp:anchor allowOverlap="1" behindDoc="0" distB="0" distT="0" distL="114300" distR="114300" hidden="0" layoutInCell="1" locked="0" relativeHeight="0" simplePos="0">
                <wp:simplePos x="0" y="0"/>
                <wp:positionH relativeFrom="column">
                  <wp:posOffset>2857500</wp:posOffset>
                </wp:positionH>
                <wp:positionV relativeFrom="paragraph">
                  <wp:posOffset>63500</wp:posOffset>
                </wp:positionV>
                <wp:extent cx="3142615" cy="495300"/>
                <wp:effectExtent b="0" l="0" r="0" t="0"/>
                <wp:wrapNone/>
                <wp:docPr id="1" name="image1.png"/>
                <a:graphic>
                  <a:graphicData uri="http://schemas.openxmlformats.org/drawingml/2006/picture">
                    <pic:pic>
                      <pic:nvPicPr>
                        <pic:cNvPr id="0" name="image1.png"/>
                        <pic:cNvPicPr preferRelativeResize="0"/>
                      </pic:nvPicPr>
                      <pic:blipFill>
                        <a:blip r:embed="rId7"/>
                        <a:srcRect/>
                        <a:stretch>
                          <a:fillRect/>
                        </a:stretch>
                      </pic:blipFill>
                      <pic:spPr>
                        <a:xfrm>
                          <a:off x="0" y="0"/>
                          <a:ext cx="3142615" cy="495300"/>
                        </a:xfrm>
                        <a:prstGeom prst="rect"/>
                        <a:ln/>
                      </pic:spPr>
                    </pic:pic>
                  </a:graphicData>
                </a:graphic>
              </wp:anchor>
            </w:drawing>
          </mc:Fallback>
        </mc:AlternateConten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rPr/>
      </w:pPr>
      <w:r w:rsidDel="00000000" w:rsidR="00000000" w:rsidRPr="00000000">
        <w:rPr>
          <w:rtl w:val="0"/>
        </w:rPr>
      </w:r>
    </w:p>
    <w:tbl>
      <w:tblPr>
        <w:tblStyle w:val="Table1"/>
        <w:tblW w:w="9016.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529"/>
        <w:gridCol w:w="6487"/>
        <w:tblGridChange w:id="0">
          <w:tblGrid>
            <w:gridCol w:w="2529"/>
            <w:gridCol w:w="6487"/>
          </w:tblGrid>
        </w:tblGridChange>
      </w:tblGrid>
      <w:tr>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005">
            <w:pPr>
              <w:rPr>
                <w:b w:val="1"/>
                <w:color w:val="002060"/>
              </w:rPr>
            </w:pPr>
            <w:r w:rsidDel="00000000" w:rsidR="00000000" w:rsidRPr="00000000">
              <w:rPr>
                <w:b w:val="1"/>
                <w:color w:val="002060"/>
                <w:rtl w:val="0"/>
              </w:rPr>
              <w:t xml:space="preserve">Student Name:</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06">
            <w:pPr>
              <w:keepNext w:val="0"/>
              <w:keepLines w:val="0"/>
              <w:widowControl w:val="1"/>
              <w:pBdr>
                <w:top w:space="0" w:sz="0" w:val="nil"/>
                <w:left w:space="0" w:sz="0" w:val="nil"/>
                <w:bottom w:space="0" w:sz="0" w:val="nil"/>
                <w:right w:space="0" w:sz="0" w:val="nil"/>
                <w:between w:space="0" w:sz="0" w:val="nil"/>
              </w:pBdr>
              <w:shd w:fill="auto" w:val="clear"/>
              <w:tabs>
                <w:tab w:val="center" w:pos="4513"/>
                <w:tab w:val="right" w:pos="9026"/>
              </w:tabs>
              <w:spacing w:after="0" w:before="0" w:line="240" w:lineRule="auto"/>
              <w:ind w:left="0" w:right="0" w:firstLine="0"/>
              <w:jc w:val="center"/>
              <w:rPr>
                <w:rFonts w:ascii="Calibri" w:cs="Calibri" w:eastAsia="Calibri" w:hAnsi="Calibri"/>
                <w:b w:val="0"/>
                <w:i w:val="0"/>
                <w:smallCaps w:val="0"/>
                <w:strike w:val="0"/>
                <w:color w:val="000000"/>
                <w:sz w:val="24"/>
                <w:szCs w:val="24"/>
                <w:u w:val="single"/>
                <w:shd w:fill="auto" w:val="clear"/>
                <w:vertAlign w:val="baseline"/>
              </w:rPr>
            </w:pPr>
            <w:r w:rsidDel="00000000" w:rsidR="00000000" w:rsidRPr="00000000">
              <w:rPr>
                <w:sz w:val="24"/>
                <w:szCs w:val="24"/>
                <w:u w:val="single"/>
                <w:rtl w:val="0"/>
              </w:rPr>
              <w:t xml:space="preserve">ANDRIUS PICIACHA</w:t>
            </w:r>
            <w:r w:rsidDel="00000000" w:rsidR="00000000" w:rsidRPr="00000000">
              <w:rPr>
                <w:rtl w:val="0"/>
              </w:rPr>
            </w:r>
          </w:p>
        </w:tc>
      </w:tr>
      <w:tr>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007">
            <w:pPr>
              <w:rPr>
                <w:b w:val="1"/>
                <w:color w:val="002060"/>
              </w:rPr>
            </w:pPr>
            <w:r w:rsidDel="00000000" w:rsidR="00000000" w:rsidRPr="00000000">
              <w:rPr>
                <w:b w:val="1"/>
                <w:color w:val="002060"/>
                <w:rtl w:val="0"/>
              </w:rPr>
              <w:t xml:space="preserve">Student Number:</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0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sz w:val="24"/>
                <w:szCs w:val="24"/>
                <w:rtl w:val="0"/>
              </w:rPr>
              <w:t xml:space="preserve">20121</w:t>
            </w:r>
            <w:r w:rsidDel="00000000" w:rsidR="00000000" w:rsidRPr="00000000">
              <w:rPr>
                <w:rtl w:val="0"/>
              </w:rPr>
            </w:r>
          </w:p>
        </w:tc>
      </w:tr>
      <w:tr>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009">
            <w:pPr>
              <w:rPr>
                <w:b w:val="1"/>
                <w:color w:val="002060"/>
              </w:rPr>
            </w:pPr>
            <w:r w:rsidDel="00000000" w:rsidR="00000000" w:rsidRPr="00000000">
              <w:rPr>
                <w:b w:val="1"/>
                <w:color w:val="002060"/>
                <w:rtl w:val="0"/>
              </w:rPr>
              <w:t xml:space="preserve">Course:</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0A">
            <w:pPr>
              <w:keepNext w:val="0"/>
              <w:keepLines w:val="0"/>
              <w:widowControl w:val="1"/>
              <w:pBdr>
                <w:top w:space="0" w:sz="0" w:val="nil"/>
                <w:left w:space="0" w:sz="0" w:val="nil"/>
                <w:bottom w:space="0" w:sz="0" w:val="nil"/>
                <w:right w:space="0" w:sz="0" w:val="nil"/>
                <w:between w:space="0" w:sz="0" w:val="nil"/>
              </w:pBdr>
              <w:shd w:fill="auto" w:val="clear"/>
              <w:tabs>
                <w:tab w:val="center" w:pos="4513"/>
                <w:tab w:val="right" w:pos="9026"/>
              </w:tabs>
              <w:spacing w:after="0" w:before="0" w:line="36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t xml:space="preserve">Supply Chain Management</w:t>
            </w:r>
            <w:r w:rsidDel="00000000" w:rsidR="00000000" w:rsidRPr="00000000">
              <w:rPr>
                <w:rtl w:val="0"/>
              </w:rPr>
            </w:r>
          </w:p>
        </w:tc>
      </w:tr>
      <w:tr>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00B">
            <w:pPr>
              <w:rPr>
                <w:b w:val="1"/>
                <w:color w:val="002060"/>
              </w:rPr>
            </w:pPr>
            <w:r w:rsidDel="00000000" w:rsidR="00000000" w:rsidRPr="00000000">
              <w:rPr>
                <w:b w:val="1"/>
                <w:color w:val="002060"/>
                <w:rtl w:val="0"/>
              </w:rPr>
              <w:t xml:space="preserve">Assignment NO:</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0C">
            <w:pPr>
              <w:rPr/>
            </w:pPr>
            <w:bookmarkStart w:colFirst="0" w:colLast="0" w:name="_gjdgxs" w:id="0"/>
            <w:bookmarkEnd w:id="0"/>
            <w:r w:rsidDel="00000000" w:rsidR="00000000" w:rsidRPr="00000000">
              <w:rPr>
                <w:rtl w:val="0"/>
              </w:rPr>
              <w:t xml:space="preserve">2</w:t>
            </w:r>
          </w:p>
        </w:tc>
      </w:tr>
    </w:tbl>
    <w:p w:rsidR="00000000" w:rsidDel="00000000" w:rsidP="00000000" w:rsidRDefault="00000000" w:rsidRPr="00000000" w14:paraId="0000000D">
      <w:pPr>
        <w:rPr>
          <w:b w:val="1"/>
        </w:rPr>
      </w:pPr>
      <w:r w:rsidDel="00000000" w:rsidR="00000000" w:rsidRPr="00000000">
        <w:rPr>
          <w:rtl w:val="0"/>
        </w:rPr>
      </w:r>
    </w:p>
    <w:p w:rsidR="00000000" w:rsidDel="00000000" w:rsidP="00000000" w:rsidRDefault="00000000" w:rsidRPr="00000000" w14:paraId="0000000E">
      <w:pPr>
        <w:rPr>
          <w:b w:val="1"/>
          <w:sz w:val="28"/>
          <w:szCs w:val="28"/>
        </w:rPr>
      </w:pPr>
      <w:r w:rsidDel="00000000" w:rsidR="00000000" w:rsidRPr="00000000">
        <w:rPr>
          <w:b w:val="1"/>
          <w:sz w:val="28"/>
          <w:szCs w:val="28"/>
          <w:rtl w:val="0"/>
        </w:rPr>
        <w:t xml:space="preserve">Marking Criteria:</w:t>
      </w:r>
    </w:p>
    <w:p w:rsidR="00000000" w:rsidDel="00000000" w:rsidP="00000000" w:rsidRDefault="00000000" w:rsidRPr="00000000" w14:paraId="0000000F">
      <w:pPr>
        <w:rPr/>
      </w:pPr>
      <w:r w:rsidDel="00000000" w:rsidR="00000000" w:rsidRPr="00000000">
        <w:rPr>
          <w:b w:val="1"/>
          <w:rtl w:val="0"/>
        </w:rPr>
        <w:t xml:space="preserve"> </w:t>
      </w:r>
      <w:r w:rsidDel="00000000" w:rsidR="00000000" w:rsidRPr="00000000">
        <w:rPr>
          <w:rtl w:val="0"/>
        </w:rPr>
        <w:t xml:space="preserve">We expect the learners to write minimum one well expressed point in three lines against each allocated mark. This means one needs to write 15 lines with 5 well expressed points to get high grades for a 5 marks question.</w:t>
      </w:r>
    </w:p>
    <w:p w:rsidR="00000000" w:rsidDel="00000000" w:rsidP="00000000" w:rsidRDefault="00000000" w:rsidRPr="00000000" w14:paraId="00000010">
      <w:pPr>
        <w:rPr/>
      </w:pPr>
      <w:r w:rsidDel="00000000" w:rsidR="00000000" w:rsidRPr="00000000">
        <w:rPr>
          <w:rtl w:val="0"/>
        </w:rPr>
        <w:t xml:space="preserve">For high grades use examples and illustrations where </w:t>
      </w:r>
    </w:p>
    <w:tbl>
      <w:tblPr>
        <w:tblStyle w:val="Table2"/>
        <w:tblW w:w="9016.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016"/>
        <w:tblGridChange w:id="0">
          <w:tblGrid>
            <w:gridCol w:w="9016"/>
          </w:tblGrid>
        </w:tblGridChange>
      </w:tblGrid>
      <w:tr>
        <w:tc>
          <w:tcPr/>
          <w:p w:rsidR="00000000" w:rsidDel="00000000" w:rsidP="00000000" w:rsidRDefault="00000000" w:rsidRPr="00000000" w14:paraId="00000011">
            <w:pPr>
              <w:rPr>
                <w:b w:val="1"/>
              </w:rPr>
            </w:pPr>
            <w:r w:rsidDel="00000000" w:rsidR="00000000" w:rsidRPr="00000000">
              <w:rPr>
                <w:rtl w:val="0"/>
              </w:rPr>
            </w:r>
          </w:p>
          <w:p w:rsidR="00000000" w:rsidDel="00000000" w:rsidP="00000000" w:rsidRDefault="00000000" w:rsidRPr="00000000" w14:paraId="00000012">
            <w:pPr>
              <w:numPr>
                <w:ilvl w:val="0"/>
                <w:numId w:val="1"/>
              </w:numPr>
              <w:ind w:left="720" w:hanging="360"/>
              <w:rPr>
                <w:b w:val="1"/>
                <w:u w:val="none"/>
              </w:rPr>
            </w:pPr>
            <w:r w:rsidDel="00000000" w:rsidR="00000000" w:rsidRPr="00000000">
              <w:rPr>
                <w:b w:val="1"/>
                <w:rtl w:val="0"/>
              </w:rPr>
              <w:t xml:space="preserve">Give brief answers for the followings questions:</w:t>
            </w:r>
            <w:r w:rsidDel="00000000" w:rsidR="00000000" w:rsidRPr="00000000">
              <w:rPr>
                <w:rtl w:val="0"/>
              </w:rPr>
            </w:r>
          </w:p>
          <w:p w:rsidR="00000000" w:rsidDel="00000000" w:rsidP="00000000" w:rsidRDefault="00000000" w:rsidRPr="00000000" w14:paraId="00000013">
            <w:pPr>
              <w:numPr>
                <w:ilvl w:val="0"/>
                <w:numId w:val="2"/>
              </w:numPr>
              <w:ind w:left="720" w:hanging="360"/>
              <w:rPr>
                <w:b w:val="1"/>
                <w:u w:val="none"/>
              </w:rPr>
            </w:pPr>
            <w:r w:rsidDel="00000000" w:rsidR="00000000" w:rsidRPr="00000000">
              <w:rPr>
                <w:b w:val="1"/>
                <w:rtl w:val="0"/>
              </w:rPr>
              <w:t xml:space="preserve">The Time Series Method, which are used for forecasts in supply chains, is based on the assumption that:</w:t>
            </w:r>
          </w:p>
          <w:p w:rsidR="00000000" w:rsidDel="00000000" w:rsidP="00000000" w:rsidRDefault="00000000" w:rsidRPr="00000000" w14:paraId="00000014">
            <w:pPr>
              <w:rPr>
                <w:b w:val="1"/>
              </w:rPr>
            </w:pPr>
            <w:r w:rsidDel="00000000" w:rsidR="00000000" w:rsidRPr="00000000">
              <w:rPr>
                <w:b w:val="1"/>
                <w:rtl w:val="0"/>
              </w:rPr>
              <w:t xml:space="preserve">A)  Demand is strongly related to particular environmental factors.</w:t>
            </w:r>
          </w:p>
          <w:p w:rsidR="00000000" w:rsidDel="00000000" w:rsidP="00000000" w:rsidRDefault="00000000" w:rsidRPr="00000000" w14:paraId="00000015">
            <w:pPr>
              <w:rPr>
                <w:b w:val="1"/>
              </w:rPr>
            </w:pPr>
            <w:r w:rsidDel="00000000" w:rsidR="00000000" w:rsidRPr="00000000">
              <w:rPr>
                <w:b w:val="1"/>
                <w:rtl w:val="0"/>
              </w:rPr>
              <w:t xml:space="preserve">Demand is strongly related to particular environmental or market factors. For instance, demand for commercial loans is often closely associated with interest rates. So if interest rate cuts are expected in the next period of time, then loan forecasts can be derived using a causal relationship with interest rates. Another strong fundamental relationship is present between price and demand. If prices are lowered, demand can be expected to increase and if prices are raised, demand can be expected to fall.</w:t>
              <w:br w:type="textWrapping"/>
              <w:t xml:space="preserve">B)  Historical patterns of demand are a good indicator of future demand.</w:t>
            </w:r>
          </w:p>
          <w:p w:rsidR="00000000" w:rsidDel="00000000" w:rsidP="00000000" w:rsidRDefault="00000000" w:rsidRPr="00000000" w14:paraId="00000016">
            <w:pPr>
              <w:rPr>
                <w:b w:val="1"/>
              </w:rPr>
            </w:pPr>
            <w:r w:rsidDel="00000000" w:rsidR="00000000" w:rsidRPr="00000000">
              <w:rPr>
                <w:b w:val="1"/>
                <w:rtl w:val="0"/>
              </w:rPr>
              <w:t xml:space="preserve">Time series approaches are the most general type of forecasting. They are based on supposition that past patterns of demand are fine sign of future demand. These methods are finest when there is a dependable body of a past data and the markets being predict are steady and have demand patterns that do not differ much from one year to the subsequent. Mathematical techniques like moving averages and exponential smoothing are utilized to make forecasts on the basis of time series data.</w:t>
              <w:br w:type="textWrapping"/>
              <w:t xml:space="preserve">C)  What will happen if a competitor opens a new store nearby?</w:t>
            </w:r>
          </w:p>
          <w:p w:rsidR="00000000" w:rsidDel="00000000" w:rsidP="00000000" w:rsidRDefault="00000000" w:rsidRPr="00000000" w14:paraId="00000017">
            <w:pPr>
              <w:rPr>
                <w:b w:val="1"/>
              </w:rPr>
            </w:pPr>
            <w:r w:rsidDel="00000000" w:rsidR="00000000" w:rsidRPr="00000000">
              <w:rPr>
                <w:b w:val="1"/>
                <w:rtl w:val="0"/>
              </w:rPr>
              <w:t xml:space="preserve">There are a couple of broad options for what could happen.</w:t>
              <w:br w:type="textWrapping"/>
              <w:t xml:space="preserve">You could have a sales hit or there is the opportunity for a sales increase. A sales hit would be due to increased competition and your customers having more choice to shop. The potential increase would be through your local area becoming a hot spot or go to area for your niche. This could bring in more footfall or visitors to your store and in turn, you have the opportunity to convert into sales.</w:t>
              <w:br w:type="textWrapping"/>
              <w:t xml:space="preserve">Other potential inpacts include:</w:t>
              <w:br w:type="textWrapping"/>
              <w:t xml:space="preserve">•</w:t>
              <w:tab/>
              <w:t xml:space="preserve">Key staff members and managers being recruited by your competitor from your store</w:t>
              <w:br w:type="textWrapping"/>
              <w:t xml:space="preserve">•</w:t>
              <w:tab/>
              <w:t xml:space="preserve">Price wars, reactive promotions and eroding margins.</w:t>
              <w:br w:type="textWrapping"/>
              <w:t xml:space="preserve">•</w:t>
              <w:tab/>
              <w:t xml:space="preserve">Even more competitors locating to the area in the future.</w:t>
              <w:br w:type="textWrapping"/>
              <w:t xml:space="preserve">•</w:t>
              <w:tab/>
              <w:t xml:space="preserve">Plus many more depending on the details, including:   congestion, theft increase/decrease, future recruitment challenges.</w:t>
              <w:br w:type="textWrapping"/>
              <w:t xml:space="preserve">To combat this you’ll wont to do a SWOT analysis ( Strengths, Weaknesses, Opportunities, Threats) to define on action plan. This should help identify, how you need to polish up your retail operation.</w:t>
              <w:br w:type="textWrapping"/>
              <w:t xml:space="preserve">Ultimately, you need to plan better and you need to level up your current performance. Both of these will serve you well going forward.</w:t>
              <w:br w:type="textWrapping"/>
              <w:br w:type="textWrapping"/>
              <w:t xml:space="preserve">II.     Explain the four variables of supply chain forecasts.</w:t>
            </w:r>
          </w:p>
          <w:p w:rsidR="00000000" w:rsidDel="00000000" w:rsidP="00000000" w:rsidRDefault="00000000" w:rsidRPr="00000000" w14:paraId="00000018">
            <w:pPr>
              <w:rPr>
                <w:b w:val="1"/>
              </w:rPr>
            </w:pPr>
            <w:r w:rsidDel="00000000" w:rsidR="00000000" w:rsidRPr="00000000">
              <w:rPr>
                <w:b w:val="1"/>
                <w:rtl w:val="0"/>
              </w:rPr>
              <w:t xml:space="preserve">Four variables of supply chain are:</w:t>
              <w:br w:type="textWrapping"/>
              <w:t xml:space="preserve">1.</w:t>
              <w:tab/>
              <w:t xml:space="preserve">Supply</w:t>
              <w:br w:type="textWrapping"/>
              <w:t xml:space="preserve">2.</w:t>
              <w:tab/>
              <w:t xml:space="preserve">Demand</w:t>
              <w:br w:type="textWrapping"/>
              <w:t xml:space="preserve">3.</w:t>
              <w:tab/>
              <w:t xml:space="preserve">Product Characteristics</w:t>
              <w:br w:type="textWrapping"/>
              <w:t xml:space="preserve">4.</w:t>
              <w:tab/>
              <w:t xml:space="preserve">Competitive Environment</w:t>
              <w:br w:type="textWrapping"/>
              <w:t xml:space="preserve">Supply is calculated by the number of manufacturers of a product and by the lead times that are linked with a product. The more manufacturers there are of a product and the shorter the lead times, the more expected this variable is. When there are just a few suppliers or when lead times are longer, there is more possibility of ambiguity in a market. Like variability in demand, ambiguity in supply makes predicting trickier. Also, longer lead times linked with a product need a longer time prospect over which forecasts must be completed. Supply chain forecasts must cover a time period that encompasses the mutual lead times of all the components that go into the formation of final product.</w:t>
              <w:br w:type="textWrapping"/>
              <w:t xml:space="preserve">Demand means the overall market demand for a collection of related products or services. Is the market going upward or declining? If so, what is the annual or periodical rate of expansion or decline? Or perhaps, the market is comparatively mature and demand is stable at a level that has been expected for some period of years. Also, a lot of products have as seasonal demand model. For instance, snow skis and heating oil are in greater demand in the winter season while tennis rackets and sun screen have more demand in the season of summer. Maybe the market is a developing market – the products or services are innovative and there is not much chronological data on demand or the demand changes widely since new customers are just being introduced to the products. Markets where there is small historical data and lots of unpredictability are the most hard when it comes to demand predictions.</w:t>
              <w:br w:type="textWrapping"/>
              <w:t xml:space="preserve">Product features include the characteristics of a product that affect consumer demand for the product. Is the product innovative and developing fast like a lot of electronic products or is the product grown – up and changing gradually or not at all, as is the case with numerous commodity products? Forecasts for grown – up products can be of longer timeframes than forecasts for products that develop rapidly. It is also significant to know whether manufactured goods will steal demand away from a different product.</w:t>
              <w:br w:type="textWrapping"/>
              <w:t xml:space="preserve">Competitive Environment stands for the activities of a corporation and its competitors. What is the market share of a business? In spite of whether the total size of a market is increasing or shrinking, what is the movement in an individual company’s market share? Is it rising or declining?</w:t>
              <w:br w:type="textWrapping"/>
              <w:t xml:space="preserve">What is the market share inclination of competitors? Market share trends are influenced by product advertising and price wars, so forecasts must consider events that are planned for the forthcoming period. Forecasts must also account for predictable promotions and price wars that will be beginning by competitors.</w:t>
              <w:br w:type="textWrapping"/>
              <w:t xml:space="preserve">III.</w:t>
              <w:tab/>
              <w:t xml:space="preserve">What is Quantitative Forecasting Method in supply chain forecasts?</w:t>
            </w:r>
          </w:p>
          <w:p w:rsidR="00000000" w:rsidDel="00000000" w:rsidP="00000000" w:rsidRDefault="00000000" w:rsidRPr="00000000" w14:paraId="00000019">
            <w:pPr>
              <w:rPr>
                <w:b w:val="1"/>
              </w:rPr>
            </w:pPr>
            <w:r w:rsidDel="00000000" w:rsidR="00000000" w:rsidRPr="00000000">
              <w:rPr>
                <w:b w:val="1"/>
                <w:rtl w:val="0"/>
              </w:rPr>
              <w:t xml:space="preserve">Quantitative forecasts call for a data – driven approach to supply chain forecasts. They rely on statistical data from past efforts as tools that can anticipate how various facets of the business affect future results. Quantitative forecasts can also be unreliable when the data is to old or does not accurately reflect current market conditions.</w:t>
              <w:br w:type="textWrapping"/>
              <w:t xml:space="preserve">IV.</w:t>
              <w:tab/>
              <w:t xml:space="preserve">Outline the different ways used for managing credit risk.</w:t>
            </w:r>
          </w:p>
          <w:p w:rsidR="00000000" w:rsidDel="00000000" w:rsidP="00000000" w:rsidRDefault="00000000" w:rsidRPr="00000000" w14:paraId="0000001A">
            <w:pPr>
              <w:rPr>
                <w:b w:val="1"/>
              </w:rPr>
            </w:pPr>
            <w:r w:rsidDel="00000000" w:rsidR="00000000" w:rsidRPr="00000000">
              <w:rPr>
                <w:b w:val="1"/>
                <w:rtl w:val="0"/>
              </w:rPr>
              <w:t xml:space="preserve">Credit people work with other people in the company to find new ways to lower the danger of selling to new types of customers. Payment terms that are good – looking to consumers in these market segments can be devised. Credit risks can be decreased by the use of credit insurance, liens on consumer assets, and government loan guarantees for exports.</w:t>
              <w:br w:type="textWrapping"/>
              <w:t xml:space="preserve">V.</w:t>
              <w:tab/>
              <w:t xml:space="preserve"> What is ‘Aggregate Planning’?</w:t>
            </w:r>
          </w:p>
          <w:p w:rsidR="00000000" w:rsidDel="00000000" w:rsidP="00000000" w:rsidRDefault="00000000" w:rsidRPr="00000000" w14:paraId="0000001B">
            <w:pPr>
              <w:rPr>
                <w:b w:val="1"/>
              </w:rPr>
            </w:pPr>
            <w:r w:rsidDel="00000000" w:rsidR="00000000" w:rsidRPr="00000000">
              <w:rPr>
                <w:b w:val="1"/>
                <w:rtl w:val="0"/>
              </w:rPr>
              <w:t xml:space="preserve">Aggregate planning</w:t>
              <w:br w:type="textWrapping"/>
              <w:t xml:space="preserve">•</w:t>
              <w:tab/>
              <w:t xml:space="preserve">After the demand is forecasted, the next step is to create a plan for the company to meet the expected demand. This is aggregate planning.</w:t>
              <w:br w:type="textWrapping"/>
              <w:t xml:space="preserve">•</w:t>
              <w:tab/>
              <w:t xml:space="preserve">The aggregate plan becomes the frame work within which short term decisions are made about production, inventory, and distribution.</w:t>
              <w:br w:type="textWrapping"/>
              <w:t xml:space="preserve">•</w:t>
              <w:tab/>
              <w:t xml:space="preserve">There are three approaches to take in creating aggregate plan.</w:t>
              <w:br w:type="textWrapping"/>
              <w:tab/>
              <w:t xml:space="preserve">Amount of production capacity.</w:t>
              <w:br w:type="textWrapping"/>
              <w:tab/>
              <w:t xml:space="preserve">Level of utilization of the production capacity.</w:t>
              <w:br w:type="textWrapping"/>
              <w:tab/>
              <w:t xml:space="preserve">Amount of inventory to carry.</w:t>
              <w:br w:type="textWrapping"/>
              <w:t xml:space="preserve">2. What is procurement? Discuss the main categories of procurement.</w:t>
            </w:r>
          </w:p>
          <w:p w:rsidR="00000000" w:rsidDel="00000000" w:rsidP="00000000" w:rsidRDefault="00000000" w:rsidRPr="00000000" w14:paraId="0000001C">
            <w:pPr>
              <w:rPr>
                <w:b w:val="1"/>
              </w:rPr>
            </w:pPr>
            <w:r w:rsidDel="00000000" w:rsidR="00000000" w:rsidRPr="00000000">
              <w:rPr>
                <w:b w:val="1"/>
                <w:rtl w:val="0"/>
              </w:rPr>
              <w:t xml:space="preserve">Procurement</w:t>
              <w:br w:type="textWrapping"/>
              <w:t xml:space="preserve">    Procurement function can be devided into five main activities:</w:t>
              <w:br w:type="textWrapping"/>
              <w:t xml:space="preserve">•</w:t>
              <w:tab/>
              <w:t xml:space="preserve">Purchasing</w:t>
              <w:br w:type="textWrapping"/>
              <w:t xml:space="preserve">•</w:t>
              <w:tab/>
              <w:t xml:space="preserve">Consumption management</w:t>
              <w:br w:type="textWrapping"/>
              <w:t xml:space="preserve">•</w:t>
              <w:tab/>
              <w:t xml:space="preserve">Vendor selection</w:t>
              <w:br w:type="textWrapping"/>
              <w:t xml:space="preserve">•</w:t>
              <w:tab/>
              <w:t xml:space="preserve">Contract negotiation</w:t>
              <w:br w:type="textWrapping"/>
              <w:t xml:space="preserve">•</w:t>
              <w:tab/>
              <w:t xml:space="preserve">Contract management</w:t>
              <w:br w:type="textWrapping"/>
              <w:t xml:space="preserve">    Purchasing</w:t>
              <w:br w:type="textWrapping"/>
              <w:t xml:space="preserve">•</w:t>
              <w:tab/>
              <w:t xml:space="preserve">Routine activities of issuing purchasing orders.</w:t>
              <w:br w:type="textWrapping"/>
              <w:t xml:space="preserve">•</w:t>
              <w:tab/>
              <w:t xml:space="preserve">Two types of orders are made:</w:t>
              <w:br w:type="textWrapping"/>
              <w:tab/>
              <w:t xml:space="preserve">Direct of strategic materials for production.</w:t>
              <w:br w:type="textWrapping"/>
              <w:tab/>
              <w:t xml:space="preserve">Indirect or MRO (maintenance, repair, and operations ).</w:t>
              <w:br w:type="textWrapping"/>
              <w:t xml:space="preserve">               Consumption</w:t>
              <w:br w:type="textWrapping"/>
              <w:t xml:space="preserve">•</w:t>
              <w:tab/>
              <w:t xml:space="preserve">Understand what categories of product are being bought throughout the company.</w:t>
              <w:br w:type="textWrapping"/>
              <w:t xml:space="preserve">•</w:t>
              <w:tab/>
              <w:t xml:space="preserve">Set expected levels of consumption.</w:t>
              <w:br w:type="textWrapping"/>
              <w:t xml:space="preserve">•</w:t>
              <w:tab/>
              <w:t xml:space="preserve">When consumption is irregular, bring this to the attention of authorities.</w:t>
              <w:br w:type="textWrapping"/>
              <w:t xml:space="preserve">Vendor selection</w:t>
              <w:br w:type="textWrapping"/>
              <w:t xml:space="preserve">•</w:t>
              <w:tab/>
              <w:t xml:space="preserve">Understand the current purchasing situation.</w:t>
              <w:br w:type="textWrapping"/>
              <w:t xml:space="preserve">•</w:t>
              <w:tab/>
              <w:t xml:space="preserve">Search for suppliers who have both products and service capabilities needed.</w:t>
              <w:br w:type="textWrapping"/>
              <w:t xml:space="preserve">•</w:t>
              <w:tab/>
              <w:t xml:space="preserve">Narrow down the number of suppliers to do business with.</w:t>
              <w:br w:type="textWrapping"/>
              <w:t xml:space="preserve"> Contract negotiation</w:t>
              <w:br w:type="textWrapping"/>
              <w:t xml:space="preserve">•</w:t>
              <w:tab/>
              <w:t xml:space="preserve">Work out specific iteams, prices, and service levels.</w:t>
              <w:br w:type="textWrapping"/>
              <w:t xml:space="preserve">•</w:t>
              <w:tab/>
              <w:t xml:space="preserve">Simplest negotiations are for contracts to purchase indirect products.</w:t>
              <w:br w:type="textWrapping"/>
              <w:t xml:space="preserve">•</w:t>
              <w:tab/>
              <w:t xml:space="preserve">Complex negotiations are for contracts to purchase direct materials.</w:t>
              <w:br w:type="textWrapping"/>
              <w:t xml:space="preserve"> Contract management</w:t>
              <w:br w:type="textWrapping"/>
              <w:t xml:space="preserve">•</w:t>
              <w:tab/>
              <w:t xml:space="preserve">Measure and manage vendor performance.</w:t>
              <w:br w:type="textWrapping"/>
              <w:t xml:space="preserve">•</w:t>
              <w:tab/>
              <w:t xml:space="preserve">Truck performance of suppliers and hold them accountable to meet the service levels.</w:t>
              <w:br w:type="textWrapping"/>
              <w:t xml:space="preserve">•</w:t>
              <w:tab/>
              <w:t xml:space="preserve">Routinely collect data about performance of suppliers.</w:t>
              <w:br w:type="textWrapping"/>
              <w:br w:type="textWrapping"/>
              <w:t xml:space="preserve">3. Discuss what the term ‘Inventory Management Plan’ means</w:t>
            </w:r>
          </w:p>
          <w:p w:rsidR="00000000" w:rsidDel="00000000" w:rsidP="00000000" w:rsidRDefault="00000000" w:rsidRPr="00000000" w14:paraId="0000001D">
            <w:pPr>
              <w:rPr>
                <w:b w:val="1"/>
              </w:rPr>
            </w:pPr>
            <w:r w:rsidDel="00000000" w:rsidR="00000000" w:rsidRPr="00000000">
              <w:rPr>
                <w:b w:val="1"/>
                <w:rtl w:val="0"/>
              </w:rPr>
              <w:t xml:space="preserve">Inventory Management is collection of techniques that are applied to supervise the inventory levels within dissimilar companies in a supply chain. The objective is to decrease the cost of stock as much as possible while still maintaining the levels of service that customers need. Inventory management takes its main inputs from the demand predictions for products and the prices of products. With these two inputs, stock management is a constant procedure of balancing product inventory levels to serve demand and gaining economies of scale to get the best product prices.</w:t>
              <w:br w:type="textWrapping"/>
              <w:t xml:space="preserve">There are three types of inventory:</w:t>
              <w:br w:type="textWrapping"/>
              <w:t xml:space="preserve">1.</w:t>
              <w:tab/>
              <w:t xml:space="preserve">Cycle inventory</w:t>
              <w:br w:type="textWrapping"/>
              <w:t xml:space="preserve">2.</w:t>
              <w:tab/>
              <w:t xml:space="preserve">Seasonal inventory</w:t>
              <w:br w:type="textWrapping"/>
              <w:t xml:space="preserve">3.</w:t>
              <w:tab/>
              <w:t xml:space="preserve">Safety inventory</w:t>
              <w:br w:type="textWrapping"/>
              <w:t xml:space="preserve">Cycle Inventory is the type of inventory, which is needed to meet the demand of the product over the time period between placing orders for the product. Cycle inventory is essential becouse economies of scale craft it attractive to make smaller number orders of big quantities of a product rather than permanent orders of little product quantity. Cycle inventory is the accumulation of inventory in the supply chains because of the fact that production and stocking of stock is done in lot sizes that are bigger than the constant demand for the product.</w:t>
              <w:br w:type="textWrapping"/>
              <w:t xml:space="preserve">Seasonal Inventory occurs when a corporation or a supply chain with a predetermined amount of productive capacity chooses to create and stock products in expectation of future demand. Decisions about seasonal inventory are driven by a need to get the most excellent economies of scale given the capacity and the cost arrangement of every company in the supply chain. Once the yearly’s demand for manufacturer’s products is determined, the most efficient schedule to exploit that fixed capacity can be measured. This schedule will call for Seasonal Inventory.</w:t>
              <w:br w:type="textWrapping"/>
              <w:t xml:space="preserve">Safety Inventory is essential to balance the ambiguity that is present in a supply chain. Retailers and distributors do not like to run short of inventory in the face of unanticipated customer demand or unforeseen delay in getting replenishment orders so they carry safety stock on hand. As a rule, the higher the level of ambiguity, the higher level of safety stock that is essential.</w:t>
              <w:br w:type="textWrapping"/>
            </w:r>
          </w:p>
          <w:p w:rsidR="00000000" w:rsidDel="00000000" w:rsidP="00000000" w:rsidRDefault="00000000" w:rsidRPr="00000000" w14:paraId="0000001E">
            <w:pPr>
              <w:rPr>
                <w:b w:val="1"/>
              </w:rPr>
            </w:pPr>
            <w:r w:rsidDel="00000000" w:rsidR="00000000" w:rsidRPr="00000000">
              <w:rPr>
                <w:rtl w:val="0"/>
              </w:rPr>
            </w:r>
          </w:p>
          <w:p w:rsidR="00000000" w:rsidDel="00000000" w:rsidP="00000000" w:rsidRDefault="00000000" w:rsidRPr="00000000" w14:paraId="0000001F">
            <w:pPr>
              <w:rPr>
                <w:b w:val="1"/>
              </w:rPr>
            </w:pPr>
            <w:r w:rsidDel="00000000" w:rsidR="00000000" w:rsidRPr="00000000">
              <w:rPr>
                <w:rtl w:val="0"/>
              </w:rPr>
            </w:r>
          </w:p>
          <w:p w:rsidR="00000000" w:rsidDel="00000000" w:rsidP="00000000" w:rsidRDefault="00000000" w:rsidRPr="00000000" w14:paraId="00000020">
            <w:pPr>
              <w:rPr>
                <w:b w:val="1"/>
              </w:rPr>
            </w:pPr>
            <w:r w:rsidDel="00000000" w:rsidR="00000000" w:rsidRPr="00000000">
              <w:rPr>
                <w:rtl w:val="0"/>
              </w:rPr>
            </w:r>
          </w:p>
          <w:p w:rsidR="00000000" w:rsidDel="00000000" w:rsidP="00000000" w:rsidRDefault="00000000" w:rsidRPr="00000000" w14:paraId="00000021">
            <w:pPr>
              <w:rPr>
                <w:b w:val="1"/>
              </w:rPr>
            </w:pPr>
            <w:r w:rsidDel="00000000" w:rsidR="00000000" w:rsidRPr="00000000">
              <w:rPr>
                <w:rtl w:val="0"/>
              </w:rPr>
            </w:r>
          </w:p>
          <w:p w:rsidR="00000000" w:rsidDel="00000000" w:rsidP="00000000" w:rsidRDefault="00000000" w:rsidRPr="00000000" w14:paraId="00000022">
            <w:pPr>
              <w:rPr>
                <w:b w:val="1"/>
              </w:rPr>
            </w:pPr>
            <w:r w:rsidDel="00000000" w:rsidR="00000000" w:rsidRPr="00000000">
              <w:rPr>
                <w:rtl w:val="0"/>
              </w:rPr>
            </w:r>
          </w:p>
          <w:p w:rsidR="00000000" w:rsidDel="00000000" w:rsidP="00000000" w:rsidRDefault="00000000" w:rsidRPr="00000000" w14:paraId="00000023">
            <w:pPr>
              <w:rPr>
                <w:b w:val="1"/>
              </w:rPr>
            </w:pPr>
            <w:r w:rsidDel="00000000" w:rsidR="00000000" w:rsidRPr="00000000">
              <w:rPr>
                <w:rtl w:val="0"/>
              </w:rPr>
            </w:r>
          </w:p>
          <w:p w:rsidR="00000000" w:rsidDel="00000000" w:rsidP="00000000" w:rsidRDefault="00000000" w:rsidRPr="00000000" w14:paraId="00000024">
            <w:pPr>
              <w:rPr>
                <w:b w:val="1"/>
              </w:rPr>
            </w:pPr>
            <w:r w:rsidDel="00000000" w:rsidR="00000000" w:rsidRPr="00000000">
              <w:rPr>
                <w:rtl w:val="0"/>
              </w:rPr>
            </w:r>
          </w:p>
        </w:tc>
      </w:tr>
    </w:tbl>
    <w:p w:rsidR="00000000" w:rsidDel="00000000" w:rsidP="00000000" w:rsidRDefault="00000000" w:rsidRPr="00000000" w14:paraId="00000025">
      <w:pPr>
        <w:spacing w:after="0" w:line="240" w:lineRule="auto"/>
        <w:rPr>
          <w:b w:val="1"/>
          <w:color w:val="002060"/>
          <w:sz w:val="28"/>
          <w:szCs w:val="28"/>
        </w:rPr>
      </w:pPr>
      <w:r w:rsidDel="00000000" w:rsidR="00000000" w:rsidRPr="00000000">
        <w:rPr>
          <w:rtl w:val="0"/>
        </w:rPr>
      </w:r>
    </w:p>
    <w:p w:rsidR="00000000" w:rsidDel="00000000" w:rsidP="00000000" w:rsidRDefault="00000000" w:rsidRPr="00000000" w14:paraId="00000026">
      <w:pPr>
        <w:spacing w:after="0" w:line="240" w:lineRule="auto"/>
        <w:rPr>
          <w:b w:val="1"/>
          <w:color w:val="002060"/>
          <w:sz w:val="28"/>
          <w:szCs w:val="28"/>
        </w:rPr>
      </w:pPr>
      <w:r w:rsidDel="00000000" w:rsidR="00000000" w:rsidRPr="00000000">
        <w:rPr>
          <w:b w:val="1"/>
          <w:color w:val="002060"/>
          <w:sz w:val="28"/>
          <w:szCs w:val="28"/>
          <w:rtl w:val="0"/>
        </w:rPr>
        <w:t xml:space="preserve">Student Statement:</w:t>
      </w:r>
    </w:p>
    <w:p w:rsidR="00000000" w:rsidDel="00000000" w:rsidP="00000000" w:rsidRDefault="00000000" w:rsidRPr="00000000" w14:paraId="00000027">
      <w:pPr>
        <w:spacing w:after="0" w:line="240" w:lineRule="auto"/>
        <w:rPr>
          <w:b w:val="1"/>
          <w:color w:val="001ae6"/>
        </w:rPr>
      </w:pPr>
      <w:r w:rsidDel="00000000" w:rsidR="00000000" w:rsidRPr="00000000">
        <w:rPr>
          <w:rtl w:val="0"/>
        </w:rPr>
      </w:r>
    </w:p>
    <w:p w:rsidR="00000000" w:rsidDel="00000000" w:rsidP="00000000" w:rsidRDefault="00000000" w:rsidRPr="00000000" w14:paraId="00000028">
      <w:pPr>
        <w:spacing w:after="0" w:line="240" w:lineRule="auto"/>
        <w:rPr>
          <w:color w:val="000000"/>
        </w:rPr>
      </w:pPr>
      <w:r w:rsidDel="00000000" w:rsidR="00000000" w:rsidRPr="00000000">
        <w:rPr>
          <w:color w:val="000000"/>
          <w:rtl w:val="0"/>
        </w:rPr>
        <w:t xml:space="preserve">By submitting this assignment, I confirm that this is my own work.</w:t>
      </w:r>
    </w:p>
    <w:p w:rsidR="00000000" w:rsidDel="00000000" w:rsidP="00000000" w:rsidRDefault="00000000" w:rsidRPr="00000000" w14:paraId="00000029">
      <w:pPr>
        <w:spacing w:after="0" w:line="240" w:lineRule="auto"/>
        <w:rPr>
          <w:color w:val="000000"/>
        </w:rPr>
      </w:pPr>
      <w:r w:rsidDel="00000000" w:rsidR="00000000" w:rsidRPr="00000000">
        <w:rPr>
          <w:rtl w:val="0"/>
        </w:rPr>
      </w:r>
    </w:p>
    <w:p w:rsidR="00000000" w:rsidDel="00000000" w:rsidP="00000000" w:rsidRDefault="00000000" w:rsidRPr="00000000" w14:paraId="0000002A">
      <w:pPr>
        <w:spacing w:after="0" w:line="240" w:lineRule="auto"/>
        <w:rPr>
          <w:color w:val="000000"/>
        </w:rPr>
      </w:pPr>
      <w:r w:rsidDel="00000000" w:rsidR="00000000" w:rsidRPr="00000000">
        <w:rPr>
          <w:rtl w:val="0"/>
        </w:rPr>
      </w:r>
    </w:p>
    <w:p w:rsidR="00000000" w:rsidDel="00000000" w:rsidP="00000000" w:rsidRDefault="00000000" w:rsidRPr="00000000" w14:paraId="0000002B">
      <w:pPr>
        <w:spacing w:after="0" w:line="240" w:lineRule="auto"/>
        <w:rPr>
          <w:color w:val="000000"/>
        </w:rPr>
      </w:pPr>
      <w:r w:rsidDel="00000000" w:rsidR="00000000" w:rsidRPr="00000000">
        <w:rPr>
          <w:rtl w:val="0"/>
        </w:rPr>
      </w:r>
    </w:p>
    <w:tbl>
      <w:tblPr>
        <w:tblStyle w:val="Table3"/>
        <w:tblW w:w="9016.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271"/>
        <w:gridCol w:w="3913"/>
        <w:gridCol w:w="1256"/>
        <w:gridCol w:w="1576"/>
        <w:tblGridChange w:id="0">
          <w:tblGrid>
            <w:gridCol w:w="2271"/>
            <w:gridCol w:w="3913"/>
            <w:gridCol w:w="1256"/>
            <w:gridCol w:w="1576"/>
          </w:tblGrid>
        </w:tblGridChange>
      </w:tblGrid>
      <w:tr>
        <w:tc>
          <w:tcPr>
            <w:shd w:fill="d9d9d9" w:val="clear"/>
          </w:tcPr>
          <w:p w:rsidR="00000000" w:rsidDel="00000000" w:rsidP="00000000" w:rsidRDefault="00000000" w:rsidRPr="00000000" w14:paraId="0000002C">
            <w:pPr>
              <w:rPr>
                <w:color w:val="000000"/>
              </w:rPr>
            </w:pPr>
            <w:r w:rsidDel="00000000" w:rsidR="00000000" w:rsidRPr="00000000">
              <w:rPr>
                <w:color w:val="000000"/>
                <w:rtl w:val="0"/>
              </w:rPr>
              <w:t xml:space="preserve">Student Signature</w:t>
            </w:r>
          </w:p>
        </w:tc>
        <w:tc>
          <w:tcPr/>
          <w:p w:rsidR="00000000" w:rsidDel="00000000" w:rsidP="00000000" w:rsidRDefault="00000000" w:rsidRPr="00000000" w14:paraId="0000002D">
            <w:pPr>
              <w:rPr>
                <w:color w:val="000000"/>
              </w:rPr>
            </w:pPr>
            <w:r w:rsidDel="00000000" w:rsidR="00000000" w:rsidRPr="00000000">
              <w:rPr>
                <w:rtl w:val="0"/>
              </w:rPr>
              <w:t xml:space="preserve">ANDRIUS PICIACHA</w:t>
            </w:r>
            <w:r w:rsidDel="00000000" w:rsidR="00000000" w:rsidRPr="00000000">
              <w:rPr>
                <w:rtl w:val="0"/>
              </w:rPr>
            </w:r>
          </w:p>
        </w:tc>
        <w:tc>
          <w:tcPr>
            <w:shd w:fill="d9d9d9" w:val="clear"/>
          </w:tcPr>
          <w:p w:rsidR="00000000" w:rsidDel="00000000" w:rsidP="00000000" w:rsidRDefault="00000000" w:rsidRPr="00000000" w14:paraId="0000002E">
            <w:pPr>
              <w:rPr>
                <w:color w:val="000000"/>
              </w:rPr>
            </w:pPr>
            <w:r w:rsidDel="00000000" w:rsidR="00000000" w:rsidRPr="00000000">
              <w:rPr>
                <w:color w:val="000000"/>
                <w:rtl w:val="0"/>
              </w:rPr>
              <w:t xml:space="preserve">Date</w:t>
            </w:r>
          </w:p>
        </w:tc>
        <w:tc>
          <w:tcPr/>
          <w:p w:rsidR="00000000" w:rsidDel="00000000" w:rsidP="00000000" w:rsidRDefault="00000000" w:rsidRPr="00000000" w14:paraId="0000002F">
            <w:pPr>
              <w:rPr>
                <w:color w:val="000000"/>
              </w:rPr>
            </w:pPr>
            <w:r w:rsidDel="00000000" w:rsidR="00000000" w:rsidRPr="00000000">
              <w:rPr>
                <w:rtl w:val="0"/>
              </w:rPr>
              <w:t xml:space="preserve">12.12.2018</w:t>
            </w:r>
            <w:r w:rsidDel="00000000" w:rsidR="00000000" w:rsidRPr="00000000">
              <w:rPr>
                <w:rtl w:val="0"/>
              </w:rPr>
            </w:r>
          </w:p>
        </w:tc>
      </w:tr>
    </w:tbl>
    <w:p w:rsidR="00000000" w:rsidDel="00000000" w:rsidP="00000000" w:rsidRDefault="00000000" w:rsidRPr="00000000" w14:paraId="00000030">
      <w:pPr>
        <w:rPr>
          <w:color w:val="000000"/>
        </w:rPr>
      </w:pPr>
      <w:r w:rsidDel="00000000" w:rsidR="00000000" w:rsidRPr="00000000">
        <w:rPr>
          <w:rtl w:val="0"/>
        </w:rPr>
      </w:r>
    </w:p>
    <w:p w:rsidR="00000000" w:rsidDel="00000000" w:rsidP="00000000" w:rsidRDefault="00000000" w:rsidRPr="00000000" w14:paraId="00000031">
      <w:pPr>
        <w:rPr>
          <w:color w:val="000000"/>
        </w:rPr>
      </w:pPr>
      <w:r w:rsidDel="00000000" w:rsidR="00000000" w:rsidRPr="00000000">
        <w:rPr>
          <w:rtl w:val="0"/>
        </w:rPr>
      </w:r>
    </w:p>
    <w:p w:rsidR="00000000" w:rsidDel="00000000" w:rsidP="00000000" w:rsidRDefault="00000000" w:rsidRPr="00000000" w14:paraId="00000032">
      <w:pPr>
        <w:shd w:fill="d9d9d9" w:val="clear"/>
        <w:rPr>
          <w:b w:val="1"/>
          <w:sz w:val="32"/>
          <w:szCs w:val="32"/>
        </w:rPr>
      </w:pPr>
      <w:r w:rsidDel="00000000" w:rsidR="00000000" w:rsidRPr="00000000">
        <w:rPr>
          <w:b w:val="1"/>
          <w:sz w:val="28"/>
          <w:szCs w:val="28"/>
          <w:rtl w:val="0"/>
        </w:rPr>
        <w:t xml:space="preserve">For Tutor / Assessor Use Only</w:t>
      </w:r>
      <w:r w:rsidDel="00000000" w:rsidR="00000000" w:rsidRPr="00000000">
        <w:rPr>
          <w:rtl w:val="0"/>
        </w:rPr>
      </w:r>
    </w:p>
    <w:tbl>
      <w:tblPr>
        <w:tblStyle w:val="Table4"/>
        <w:tblW w:w="9016.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523"/>
        <w:gridCol w:w="4493"/>
        <w:tblGridChange w:id="0">
          <w:tblGrid>
            <w:gridCol w:w="4523"/>
            <w:gridCol w:w="4493"/>
          </w:tblGrid>
        </w:tblGridChange>
      </w:tblGrid>
      <w:tr>
        <w:trPr>
          <w:trHeight w:val="240" w:hRule="atLeast"/>
        </w:trPr>
        <w:tc>
          <w:tcPr>
            <w:shd w:fill="d9d9d9" w:val="clear"/>
          </w:tcPr>
          <w:p w:rsidR="00000000" w:rsidDel="00000000" w:rsidP="00000000" w:rsidRDefault="00000000" w:rsidRPr="00000000" w14:paraId="00000033">
            <w:pPr>
              <w:rPr>
                <w:b w:val="1"/>
                <w:color w:val="002060"/>
              </w:rPr>
            </w:pPr>
            <w:r w:rsidDel="00000000" w:rsidR="00000000" w:rsidRPr="00000000">
              <w:rPr>
                <w:b w:val="1"/>
                <w:color w:val="002060"/>
                <w:rtl w:val="0"/>
              </w:rPr>
              <w:t xml:space="preserve">Total Marks</w:t>
            </w:r>
          </w:p>
        </w:tc>
        <w:tc>
          <w:tcPr/>
          <w:p w:rsidR="00000000" w:rsidDel="00000000" w:rsidP="00000000" w:rsidRDefault="00000000" w:rsidRPr="00000000" w14:paraId="00000034">
            <w:pPr>
              <w:rPr/>
            </w:pPr>
            <w:r w:rsidDel="00000000" w:rsidR="00000000" w:rsidRPr="00000000">
              <w:rPr>
                <w:rtl w:val="0"/>
              </w:rPr>
            </w:r>
          </w:p>
        </w:tc>
      </w:tr>
      <w:tr>
        <w:tc>
          <w:tcPr>
            <w:shd w:fill="d9d9d9" w:val="clear"/>
          </w:tcPr>
          <w:p w:rsidR="00000000" w:rsidDel="00000000" w:rsidP="00000000" w:rsidRDefault="00000000" w:rsidRPr="00000000" w14:paraId="00000035">
            <w:pPr>
              <w:rPr>
                <w:b w:val="1"/>
                <w:color w:val="002060"/>
              </w:rPr>
            </w:pPr>
            <w:r w:rsidDel="00000000" w:rsidR="00000000" w:rsidRPr="00000000">
              <w:rPr>
                <w:b w:val="1"/>
                <w:color w:val="002060"/>
                <w:rtl w:val="0"/>
              </w:rPr>
              <w:t xml:space="preserve">Marks Obtained</w:t>
            </w:r>
          </w:p>
        </w:tc>
        <w:tc>
          <w:tcPr/>
          <w:p w:rsidR="00000000" w:rsidDel="00000000" w:rsidP="00000000" w:rsidRDefault="00000000" w:rsidRPr="00000000" w14:paraId="00000036">
            <w:pPr>
              <w:rPr/>
            </w:pPr>
            <w:r w:rsidDel="00000000" w:rsidR="00000000" w:rsidRPr="00000000">
              <w:rPr>
                <w:rtl w:val="0"/>
              </w:rPr>
            </w:r>
          </w:p>
        </w:tc>
      </w:tr>
      <w:tr>
        <w:tc>
          <w:tcPr>
            <w:shd w:fill="d9d9d9" w:val="clear"/>
          </w:tcPr>
          <w:p w:rsidR="00000000" w:rsidDel="00000000" w:rsidP="00000000" w:rsidRDefault="00000000" w:rsidRPr="00000000" w14:paraId="00000037">
            <w:pPr>
              <w:rPr>
                <w:b w:val="1"/>
                <w:color w:val="002060"/>
              </w:rPr>
            </w:pPr>
            <w:r w:rsidDel="00000000" w:rsidR="00000000" w:rsidRPr="00000000">
              <w:rPr>
                <w:b w:val="1"/>
                <w:color w:val="002060"/>
                <w:rtl w:val="0"/>
              </w:rPr>
              <w:t xml:space="preserve">Percentage / Grade</w:t>
            </w:r>
          </w:p>
        </w:tc>
        <w:tc>
          <w:tcPr/>
          <w:p w:rsidR="00000000" w:rsidDel="00000000" w:rsidP="00000000" w:rsidRDefault="00000000" w:rsidRPr="00000000" w14:paraId="00000038">
            <w:pPr>
              <w:rPr/>
            </w:pPr>
            <w:r w:rsidDel="00000000" w:rsidR="00000000" w:rsidRPr="00000000">
              <w:rPr>
                <w:rtl w:val="0"/>
              </w:rPr>
            </w:r>
          </w:p>
        </w:tc>
      </w:tr>
    </w:tbl>
    <w:p w:rsidR="00000000" w:rsidDel="00000000" w:rsidP="00000000" w:rsidRDefault="00000000" w:rsidRPr="00000000" w14:paraId="00000039">
      <w:pPr>
        <w:rPr>
          <w:sz w:val="24"/>
          <w:szCs w:val="24"/>
        </w:rPr>
      </w:pPr>
      <w:r w:rsidDel="00000000" w:rsidR="00000000" w:rsidRPr="00000000">
        <w:rPr>
          <w:rtl w:val="0"/>
        </w:rPr>
      </w:r>
    </w:p>
    <w:p w:rsidR="00000000" w:rsidDel="00000000" w:rsidP="00000000" w:rsidRDefault="00000000" w:rsidRPr="00000000" w14:paraId="0000003A">
      <w:pPr>
        <w:rPr>
          <w:sz w:val="24"/>
          <w:szCs w:val="24"/>
        </w:rPr>
      </w:pPr>
      <w:r w:rsidDel="00000000" w:rsidR="00000000" w:rsidRPr="00000000">
        <w:rPr>
          <w:rtl w:val="0"/>
        </w:rPr>
      </w:r>
    </w:p>
    <w:p w:rsidR="00000000" w:rsidDel="00000000" w:rsidP="00000000" w:rsidRDefault="00000000" w:rsidRPr="00000000" w14:paraId="0000003B">
      <w:pPr>
        <w:rPr>
          <w:sz w:val="24"/>
          <w:szCs w:val="24"/>
        </w:rPr>
      </w:pPr>
      <w:r w:rsidDel="00000000" w:rsidR="00000000" w:rsidRPr="00000000">
        <w:rPr>
          <w:rtl w:val="0"/>
        </w:rPr>
      </w:r>
    </w:p>
    <w:p w:rsidR="00000000" w:rsidDel="00000000" w:rsidP="00000000" w:rsidRDefault="00000000" w:rsidRPr="00000000" w14:paraId="0000003C">
      <w:pPr>
        <w:rPr>
          <w:sz w:val="24"/>
          <w:szCs w:val="24"/>
        </w:rPr>
      </w:pPr>
      <w:r w:rsidDel="00000000" w:rsidR="00000000" w:rsidRPr="00000000">
        <w:rPr>
          <w:rtl w:val="0"/>
        </w:rPr>
      </w:r>
    </w:p>
    <w:p w:rsidR="00000000" w:rsidDel="00000000" w:rsidP="00000000" w:rsidRDefault="00000000" w:rsidRPr="00000000" w14:paraId="0000003D">
      <w:pPr>
        <w:rPr>
          <w:sz w:val="24"/>
          <w:szCs w:val="24"/>
        </w:rPr>
      </w:pPr>
      <w:r w:rsidDel="00000000" w:rsidR="00000000" w:rsidRPr="00000000">
        <w:rPr>
          <w:rtl w:val="0"/>
        </w:rPr>
      </w:r>
    </w:p>
    <w:p w:rsidR="00000000" w:rsidDel="00000000" w:rsidP="00000000" w:rsidRDefault="00000000" w:rsidRPr="00000000" w14:paraId="0000003E">
      <w:pPr>
        <w:rPr>
          <w:sz w:val="24"/>
          <w:szCs w:val="24"/>
        </w:rPr>
      </w:pPr>
      <w:r w:rsidDel="00000000" w:rsidR="00000000" w:rsidRPr="00000000">
        <w:rPr>
          <w:rtl w:val="0"/>
        </w:rPr>
      </w:r>
    </w:p>
    <w:p w:rsidR="00000000" w:rsidDel="00000000" w:rsidP="00000000" w:rsidRDefault="00000000" w:rsidRPr="00000000" w14:paraId="0000003F">
      <w:pPr>
        <w:rPr>
          <w:sz w:val="24"/>
          <w:szCs w:val="24"/>
        </w:rPr>
      </w:pPr>
      <w:r w:rsidDel="00000000" w:rsidR="00000000" w:rsidRPr="00000000">
        <w:rPr>
          <w:rtl w:val="0"/>
        </w:rPr>
      </w:r>
    </w:p>
    <w:p w:rsidR="00000000" w:rsidDel="00000000" w:rsidP="00000000" w:rsidRDefault="00000000" w:rsidRPr="00000000" w14:paraId="00000040">
      <w:pPr>
        <w:rPr>
          <w:sz w:val="24"/>
          <w:szCs w:val="24"/>
        </w:rPr>
      </w:pPr>
      <w:r w:rsidDel="00000000" w:rsidR="00000000" w:rsidRPr="00000000">
        <w:rPr>
          <w:rtl w:val="0"/>
        </w:rPr>
      </w:r>
    </w:p>
    <w:p w:rsidR="00000000" w:rsidDel="00000000" w:rsidP="00000000" w:rsidRDefault="00000000" w:rsidRPr="00000000" w14:paraId="00000041">
      <w:pPr>
        <w:rPr>
          <w:sz w:val="24"/>
          <w:szCs w:val="24"/>
        </w:rPr>
      </w:pPr>
      <w:r w:rsidDel="00000000" w:rsidR="00000000" w:rsidRPr="00000000">
        <w:rPr>
          <w:rtl w:val="0"/>
        </w:rPr>
      </w:r>
    </w:p>
    <w:p w:rsidR="00000000" w:rsidDel="00000000" w:rsidP="00000000" w:rsidRDefault="00000000" w:rsidRPr="00000000" w14:paraId="00000042">
      <w:pPr>
        <w:rPr>
          <w:sz w:val="24"/>
          <w:szCs w:val="24"/>
        </w:rPr>
      </w:pPr>
      <w:r w:rsidDel="00000000" w:rsidR="00000000" w:rsidRPr="00000000">
        <w:rPr>
          <w:rtl w:val="0"/>
        </w:rPr>
      </w:r>
    </w:p>
    <w:p w:rsidR="00000000" w:rsidDel="00000000" w:rsidP="00000000" w:rsidRDefault="00000000" w:rsidRPr="00000000" w14:paraId="00000043">
      <w:pPr>
        <w:rPr>
          <w:sz w:val="24"/>
          <w:szCs w:val="24"/>
        </w:rPr>
      </w:pPr>
      <w:r w:rsidDel="00000000" w:rsidR="00000000" w:rsidRPr="00000000">
        <w:rPr>
          <w:rtl w:val="0"/>
        </w:rPr>
      </w:r>
    </w:p>
    <w:sectPr>
      <w:pgSz w:h="16838" w:w="11906"/>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upperRoman"/>
      <w:lvlText w:val="%1."/>
      <w:lvlJc w:val="right"/>
      <w:pPr>
        <w:ind w:left="720" w:hanging="360"/>
      </w:pPr>
      <w:rPr>
        <w:u w:val="none"/>
      </w:rPr>
    </w:lvl>
    <w:lvl w:ilvl="1">
      <w:start w:val="1"/>
      <w:numFmt w:val="upperLetter"/>
      <w:lvlText w:val="%2."/>
      <w:lvlJc w:val="lef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decimal"/>
      <w:lvlText w:val="(%5)"/>
      <w:lvlJc w:val="left"/>
      <w:pPr>
        <w:ind w:left="3600" w:hanging="360"/>
      </w:pPr>
      <w:rPr>
        <w:u w:val="none"/>
      </w:rPr>
    </w:lvl>
    <w:lvl w:ilvl="5">
      <w:start w:val="1"/>
      <w:numFmt w:val="lowerLetter"/>
      <w:lvlText w:val="(%6)"/>
      <w:lvlJc w:val="left"/>
      <w:pPr>
        <w:ind w:left="4320" w:hanging="360"/>
      </w:pPr>
      <w:rPr>
        <w:u w:val="none"/>
      </w:rPr>
    </w:lvl>
    <w:lvl w:ilvl="6">
      <w:start w:val="1"/>
      <w:numFmt w:val="lowerRoman"/>
      <w:lvlText w:val="(%7)"/>
      <w:lvlJc w:val="righ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4"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US"/>
      </w:rPr>
    </w:rPrDefault>
    <w:pPrDefault>
      <w:pPr>
        <w:spacing w:after="200"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4">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2.png"/><Relationship Id="rId7"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