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54D0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77D6917" wp14:editId="713557B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CA1FC7" w14:textId="77DDAB02" w:rsidR="00607874" w:rsidRDefault="00881CC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308CF" wp14:editId="3B52F068">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F36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8755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308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155F36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A87553" w14:textId="77777777" w:rsidR="00405895" w:rsidRDefault="00405895"/>
                  </w:txbxContent>
                </v:textbox>
              </v:shape>
            </w:pict>
          </mc:Fallback>
        </mc:AlternateContent>
      </w:r>
    </w:p>
    <w:p w14:paraId="2531DB47" w14:textId="77777777" w:rsidR="00607874" w:rsidRDefault="00607874" w:rsidP="00A851DA">
      <w:pPr>
        <w:rPr>
          <w:lang w:val="en-US"/>
        </w:rPr>
      </w:pPr>
    </w:p>
    <w:p w14:paraId="04B5FF4C" w14:textId="77777777" w:rsidR="00607874" w:rsidRDefault="00607874" w:rsidP="00A851DA">
      <w:pPr>
        <w:rPr>
          <w:lang w:val="en-US"/>
        </w:rPr>
      </w:pPr>
    </w:p>
    <w:p w14:paraId="550FCB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1740D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071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1046AC" w14:textId="340064FD" w:rsidR="00A851DA" w:rsidRPr="00B0415E" w:rsidRDefault="00881CC7">
            <w:pPr>
              <w:pStyle w:val="Default"/>
              <w:rPr>
                <w:rFonts w:asciiTheme="minorHAnsi" w:hAnsiTheme="minorHAnsi"/>
              </w:rPr>
            </w:pPr>
            <w:r>
              <w:rPr>
                <w:rFonts w:asciiTheme="minorHAnsi" w:hAnsiTheme="minorHAnsi"/>
              </w:rPr>
              <w:t>Bradley Carter</w:t>
            </w:r>
          </w:p>
        </w:tc>
      </w:tr>
      <w:tr w:rsidR="00A851DA" w:rsidRPr="00B0415E" w14:paraId="7CDEF8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E19A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9A4893" w14:textId="20553247" w:rsidR="00A851DA" w:rsidRPr="00B0415E" w:rsidRDefault="00881CC7">
            <w:pPr>
              <w:pStyle w:val="Default"/>
              <w:rPr>
                <w:rFonts w:asciiTheme="minorHAnsi" w:hAnsiTheme="minorHAnsi"/>
              </w:rPr>
            </w:pPr>
            <w:r>
              <w:rPr>
                <w:rFonts w:asciiTheme="minorHAnsi" w:hAnsiTheme="minorHAnsi"/>
              </w:rPr>
              <w:t>33796</w:t>
            </w:r>
          </w:p>
        </w:tc>
      </w:tr>
      <w:tr w:rsidR="00A851DA" w:rsidRPr="00B0415E" w14:paraId="25CB3C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EB9E4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24833B" w14:textId="59945B5D" w:rsidR="00A851DA" w:rsidRPr="00B0415E" w:rsidRDefault="00881CC7">
            <w:pPr>
              <w:pStyle w:val="Default"/>
              <w:rPr>
                <w:rFonts w:asciiTheme="minorHAnsi" w:hAnsiTheme="minorHAnsi"/>
              </w:rPr>
            </w:pPr>
            <w:r w:rsidRPr="00881CC7">
              <w:rPr>
                <w:rFonts w:asciiTheme="minorHAnsi" w:hAnsiTheme="minorHAnsi"/>
              </w:rPr>
              <w:t>Advanced Diploma in Construction Management Level 5</w:t>
            </w:r>
          </w:p>
        </w:tc>
      </w:tr>
      <w:tr w:rsidR="00A851DA" w:rsidRPr="00B0415E" w14:paraId="23B743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CBE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308DA9" w14:textId="05D437B0" w:rsidR="00A851DA" w:rsidRPr="00B0415E" w:rsidRDefault="00881CC7">
            <w:r>
              <w:t xml:space="preserve">Unit </w:t>
            </w:r>
            <w:r w:rsidR="00C626D0">
              <w:t>s</w:t>
            </w:r>
            <w:r w:rsidR="0099006B">
              <w:t>even</w:t>
            </w:r>
          </w:p>
        </w:tc>
      </w:tr>
    </w:tbl>
    <w:p w14:paraId="48B56434" w14:textId="77777777" w:rsidR="00CC2FB3" w:rsidRDefault="00CC2FB3" w:rsidP="00A851DA">
      <w:pPr>
        <w:rPr>
          <w:b/>
          <w:lang w:val="en-US"/>
        </w:rPr>
      </w:pPr>
    </w:p>
    <w:p w14:paraId="71D1E835" w14:textId="77777777" w:rsidR="00443E6F" w:rsidRDefault="00527C11" w:rsidP="00A851DA">
      <w:pPr>
        <w:rPr>
          <w:b/>
          <w:sz w:val="28"/>
          <w:lang w:val="en-US"/>
        </w:rPr>
      </w:pPr>
      <w:r w:rsidRPr="00443E6F">
        <w:rPr>
          <w:b/>
          <w:sz w:val="28"/>
          <w:lang w:val="en-US"/>
        </w:rPr>
        <w:t>Marking Criteria:</w:t>
      </w:r>
    </w:p>
    <w:p w14:paraId="1CC61C2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3321B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9333F3" w14:textId="77777777" w:rsidTr="00CC2FB3">
        <w:tc>
          <w:tcPr>
            <w:tcW w:w="9242" w:type="dxa"/>
          </w:tcPr>
          <w:p w14:paraId="206EB53F" w14:textId="77777777" w:rsidR="0099006B" w:rsidRPr="0099006B" w:rsidRDefault="0099006B" w:rsidP="0099006B">
            <w:pPr>
              <w:spacing w:after="160" w:line="259" w:lineRule="auto"/>
              <w:rPr>
                <w:rFonts w:ascii="Arial" w:eastAsia="Calibri" w:hAnsi="Arial" w:cs="Arial"/>
                <w:u w:val="single"/>
              </w:rPr>
            </w:pPr>
            <w:r w:rsidRPr="0099006B">
              <w:rPr>
                <w:rFonts w:ascii="Arial" w:eastAsia="Calibri" w:hAnsi="Arial" w:cs="Arial"/>
                <w:u w:val="single"/>
              </w:rPr>
              <w:t>Material Management</w:t>
            </w:r>
          </w:p>
          <w:p w14:paraId="522BF459" w14:textId="77777777" w:rsidR="0099006B" w:rsidRPr="0099006B" w:rsidRDefault="0099006B" w:rsidP="0099006B">
            <w:pPr>
              <w:spacing w:after="160" w:line="259" w:lineRule="auto"/>
              <w:rPr>
                <w:rFonts w:ascii="Calibri" w:eastAsia="Calibri" w:hAnsi="Calibri" w:cs="Times New Roman"/>
              </w:rPr>
            </w:pPr>
            <w:r w:rsidRPr="0099006B">
              <w:rPr>
                <w:rFonts w:ascii="Arial" w:eastAsia="Calibri" w:hAnsi="Arial" w:cs="Arial"/>
              </w:rPr>
              <w:t>Q1:</w:t>
            </w:r>
            <w:r w:rsidRPr="0099006B">
              <w:rPr>
                <w:rFonts w:ascii="Calibri" w:eastAsia="Calibri" w:hAnsi="Calibri" w:cs="Times New Roman"/>
              </w:rPr>
              <w:t xml:space="preserve"> </w:t>
            </w:r>
          </w:p>
          <w:p w14:paraId="7B49D897" w14:textId="77777777" w:rsidR="0099006B" w:rsidRPr="0099006B" w:rsidRDefault="0099006B" w:rsidP="0099006B">
            <w:pPr>
              <w:spacing w:after="160" w:line="259" w:lineRule="auto"/>
              <w:rPr>
                <w:rFonts w:ascii="Arial" w:eastAsia="Calibri" w:hAnsi="Arial" w:cs="Arial"/>
              </w:rPr>
            </w:pPr>
            <w:r w:rsidRPr="0099006B">
              <w:rPr>
                <w:rFonts w:ascii="Calibri" w:eastAsia="Calibri" w:hAnsi="Calibri" w:cs="Times New Roman"/>
              </w:rPr>
              <w:tab/>
            </w:r>
            <w:r w:rsidRPr="0099006B">
              <w:rPr>
                <w:rFonts w:ascii="Arial" w:eastAsia="Calibri" w:hAnsi="Arial" w:cs="Arial"/>
              </w:rPr>
              <w:t>i. Define materials management and its scope.</w:t>
            </w:r>
          </w:p>
          <w:p w14:paraId="5B070606"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ii. Describe the various functions and objectives of materials management.</w:t>
            </w:r>
          </w:p>
          <w:p w14:paraId="377F070C"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iii. Discuss the possible disadvantages of "integrated materials management approach".</w:t>
            </w:r>
          </w:p>
          <w:p w14:paraId="1F3E1C4C" w14:textId="77777777" w:rsidR="0099006B" w:rsidRPr="0099006B" w:rsidRDefault="0099006B" w:rsidP="0099006B">
            <w:pPr>
              <w:spacing w:line="259" w:lineRule="auto"/>
              <w:ind w:left="720"/>
              <w:rPr>
                <w:rFonts w:ascii="Arial" w:eastAsia="Calibri" w:hAnsi="Arial" w:cs="Arial"/>
              </w:rPr>
            </w:pPr>
            <w:r w:rsidRPr="0099006B">
              <w:rPr>
                <w:rFonts w:ascii="Arial" w:eastAsia="Calibri" w:hAnsi="Arial" w:cs="Arial"/>
              </w:rPr>
              <w:t>iv. Discuss the various vendor rating techniques. Why an organisation should try to rate its vendor?</w:t>
            </w:r>
          </w:p>
          <w:p w14:paraId="2CD04748" w14:textId="77777777" w:rsidR="0099006B" w:rsidRPr="0099006B" w:rsidRDefault="0099006B" w:rsidP="0099006B">
            <w:pPr>
              <w:spacing w:line="259" w:lineRule="auto"/>
              <w:ind w:left="720"/>
              <w:rPr>
                <w:rFonts w:ascii="Arial" w:eastAsia="Calibri" w:hAnsi="Arial" w:cs="Arial"/>
              </w:rPr>
            </w:pPr>
          </w:p>
          <w:p w14:paraId="4D4B6D6C" w14:textId="77777777" w:rsidR="0099006B" w:rsidRPr="0099006B" w:rsidRDefault="0099006B" w:rsidP="0099006B">
            <w:pPr>
              <w:spacing w:line="259" w:lineRule="auto"/>
              <w:ind w:left="720"/>
              <w:rPr>
                <w:rFonts w:ascii="Arial" w:eastAsia="Calibri" w:hAnsi="Arial" w:cs="Arial"/>
              </w:rPr>
            </w:pPr>
            <w:r w:rsidRPr="0099006B">
              <w:rPr>
                <w:rFonts w:ascii="Arial" w:eastAsia="Calibri" w:hAnsi="Arial" w:cs="Arial"/>
              </w:rPr>
              <w:t>v. What advantages does a construction agency derive by treating materials management as a separate and important function?</w:t>
            </w:r>
          </w:p>
          <w:p w14:paraId="61B1A106" w14:textId="77777777" w:rsidR="0099006B" w:rsidRPr="0099006B" w:rsidRDefault="0099006B" w:rsidP="0099006B">
            <w:pPr>
              <w:spacing w:after="160" w:line="259" w:lineRule="auto"/>
              <w:rPr>
                <w:rFonts w:ascii="Arial" w:eastAsia="Calibri" w:hAnsi="Arial" w:cs="Arial"/>
              </w:rPr>
            </w:pPr>
            <w:r w:rsidRPr="0099006B">
              <w:rPr>
                <w:rFonts w:ascii="Calibri" w:eastAsia="Calibri" w:hAnsi="Calibri" w:cs="Times New Roman"/>
              </w:rPr>
              <w:tab/>
            </w:r>
          </w:p>
          <w:p w14:paraId="767B4662" w14:textId="77777777" w:rsidR="0099006B" w:rsidRPr="0099006B" w:rsidRDefault="0099006B" w:rsidP="0099006B">
            <w:pPr>
              <w:spacing w:line="259" w:lineRule="auto"/>
              <w:rPr>
                <w:rFonts w:ascii="Arial" w:eastAsia="Calibri" w:hAnsi="Arial" w:cs="Arial"/>
              </w:rPr>
            </w:pPr>
            <w:r w:rsidRPr="0099006B">
              <w:rPr>
                <w:rFonts w:ascii="Arial" w:eastAsia="Calibri" w:hAnsi="Arial" w:cs="Arial"/>
              </w:rPr>
              <w:t>A1:</w:t>
            </w:r>
          </w:p>
          <w:p w14:paraId="72480A52" w14:textId="77777777" w:rsidR="0099006B" w:rsidRPr="0099006B" w:rsidRDefault="0099006B" w:rsidP="0099006B">
            <w:pPr>
              <w:spacing w:line="259" w:lineRule="auto"/>
              <w:rPr>
                <w:rFonts w:ascii="Arial" w:eastAsia="Calibri" w:hAnsi="Arial" w:cs="Arial"/>
              </w:rPr>
            </w:pPr>
          </w:p>
          <w:p w14:paraId="50C0DB35" w14:textId="77777777" w:rsidR="0099006B" w:rsidRPr="0099006B" w:rsidRDefault="0099006B" w:rsidP="0099006B">
            <w:pPr>
              <w:spacing w:line="259" w:lineRule="auto"/>
              <w:ind w:left="720"/>
              <w:rPr>
                <w:rFonts w:ascii="Arial" w:eastAsia="Calibri" w:hAnsi="Arial" w:cs="Arial"/>
              </w:rPr>
            </w:pPr>
            <w:r w:rsidRPr="0099006B">
              <w:rPr>
                <w:rFonts w:ascii="Arial" w:eastAsia="Calibri" w:hAnsi="Arial" w:cs="Arial"/>
              </w:rPr>
              <w:t>i. Materials management is defined as “</w:t>
            </w:r>
            <w:r w:rsidRPr="0099006B">
              <w:rPr>
                <w:rFonts w:ascii="Arial" w:eastAsia="Calibri" w:hAnsi="Arial" w:cs="Arial"/>
                <w:i/>
                <w:iCs/>
              </w:rPr>
              <w:t>the function responsible for the coordination of planning, sourcing, purchasing, moving, storing and controlling materials in an optimum manner so as to provide a pre-decided service to the customer at a minimum cost</w:t>
            </w:r>
            <w:r w:rsidRPr="0099006B">
              <w:rPr>
                <w:rFonts w:ascii="Arial" w:eastAsia="Calibri" w:hAnsi="Arial" w:cs="Arial"/>
              </w:rPr>
              <w:t>”. From the definition it is clear that the scope of materials management is vast.</w:t>
            </w:r>
          </w:p>
          <w:p w14:paraId="11A65DFE" w14:textId="77777777" w:rsidR="0099006B" w:rsidRPr="0099006B" w:rsidRDefault="0099006B" w:rsidP="0099006B">
            <w:pPr>
              <w:spacing w:line="259" w:lineRule="auto"/>
              <w:ind w:left="720"/>
              <w:rPr>
                <w:rFonts w:ascii="Arial" w:eastAsia="Calibri" w:hAnsi="Arial" w:cs="Arial"/>
              </w:rPr>
            </w:pPr>
          </w:p>
          <w:p w14:paraId="367095AB" w14:textId="4BB0ECCC" w:rsidR="0099006B" w:rsidRPr="0099006B" w:rsidRDefault="0099006B" w:rsidP="0099006B">
            <w:pPr>
              <w:spacing w:line="259" w:lineRule="auto"/>
              <w:ind w:left="720"/>
              <w:rPr>
                <w:rFonts w:ascii="Arial" w:eastAsia="Calibri" w:hAnsi="Arial" w:cs="Arial"/>
              </w:rPr>
            </w:pPr>
            <w:r w:rsidRPr="0099006B">
              <w:rPr>
                <w:rFonts w:ascii="Arial" w:eastAsia="Calibri" w:hAnsi="Arial" w:cs="Arial"/>
              </w:rPr>
              <w:t xml:space="preserve">Construction materials management is generally recognised to be the integrated coordination of materials takeoff, purchasing, expediting, receiving, warehousing and distribution. When these functions are not properly managed, materials shortages, surpluses, and cash flow problems are likely to occur. Costly labor </w:t>
            </w:r>
            <w:r w:rsidRPr="0099006B">
              <w:rPr>
                <w:rFonts w:ascii="Arial" w:eastAsia="Calibri" w:hAnsi="Arial" w:cs="Arial"/>
              </w:rPr>
              <w:lastRenderedPageBreak/>
              <w:t>delays result when the required quantity or quality of materials are not available when needed. Owner</w:t>
            </w:r>
            <w:r w:rsidRPr="0099006B">
              <w:rPr>
                <w:rFonts w:ascii="Cambria Math" w:eastAsia="Calibri" w:hAnsi="Cambria Math" w:cs="Cambria Math"/>
              </w:rPr>
              <w:t>‐</w:t>
            </w:r>
            <w:r w:rsidRPr="0099006B">
              <w:rPr>
                <w:rFonts w:ascii="Arial" w:eastAsia="Calibri" w:hAnsi="Arial" w:cs="Arial"/>
              </w:rPr>
              <w:t>contractor, engineer</w:t>
            </w:r>
            <w:r w:rsidRPr="0099006B">
              <w:rPr>
                <w:rFonts w:ascii="Cambria Math" w:eastAsia="Calibri" w:hAnsi="Cambria Math" w:cs="Cambria Math"/>
              </w:rPr>
              <w:t>‐</w:t>
            </w:r>
            <w:r w:rsidRPr="0099006B">
              <w:rPr>
                <w:rFonts w:ascii="Arial" w:eastAsia="Calibri" w:hAnsi="Arial" w:cs="Arial"/>
              </w:rPr>
              <w:t>contractor, and home office</w:t>
            </w:r>
            <w:r w:rsidRPr="0099006B">
              <w:rPr>
                <w:rFonts w:ascii="Cambria Math" w:eastAsia="Calibri" w:hAnsi="Cambria Math" w:cs="Cambria Math"/>
              </w:rPr>
              <w:t>‐</w:t>
            </w:r>
            <w:r w:rsidRPr="0099006B">
              <w:rPr>
                <w:rFonts w:ascii="Arial" w:eastAsia="Calibri" w:hAnsi="Arial" w:cs="Arial"/>
              </w:rPr>
              <w:t xml:space="preserve">project site communications appear to be critical to the success of the materials management effort. Pre-construction materials </w:t>
            </w:r>
            <w:r w:rsidRPr="0099006B">
              <w:rPr>
                <w:rFonts w:ascii="Arial" w:eastAsia="Calibri" w:hAnsi="Arial" w:cs="Arial"/>
              </w:rPr>
              <w:t>planning,</w:t>
            </w:r>
            <w:r w:rsidRPr="0099006B">
              <w:rPr>
                <w:rFonts w:ascii="Arial" w:eastAsia="Calibri" w:hAnsi="Arial" w:cs="Arial"/>
              </w:rPr>
              <w:t xml:space="preserve"> and personnel orientation and training are also important. The complex online computer programs that are used to coordinate the materials management effort are costly, but essential, if the desired degree of control is to be exerted to prevent potential shortages, surpluses, and cash flow problems.</w:t>
            </w:r>
          </w:p>
          <w:p w14:paraId="182A8409" w14:textId="77777777" w:rsidR="0099006B" w:rsidRPr="0099006B" w:rsidRDefault="0099006B" w:rsidP="0099006B">
            <w:pPr>
              <w:spacing w:after="160" w:line="259" w:lineRule="auto"/>
              <w:rPr>
                <w:rFonts w:ascii="Arial" w:eastAsia="Calibri" w:hAnsi="Arial" w:cs="Arial"/>
              </w:rPr>
            </w:pPr>
          </w:p>
          <w:p w14:paraId="3218089D"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b/>
            </w:r>
            <w:r w:rsidRPr="0099006B">
              <w:rPr>
                <w:rFonts w:ascii="Calibri" w:eastAsia="Calibri" w:hAnsi="Calibri" w:cs="Times New Roman"/>
                <w:noProof/>
              </w:rPr>
              <w:drawing>
                <wp:inline distT="0" distB="0" distL="0" distR="0" wp14:anchorId="05C1DC2E" wp14:editId="792874D3">
                  <wp:extent cx="5667375" cy="2247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67375" cy="2247900"/>
                          </a:xfrm>
                          <a:prstGeom prst="rect">
                            <a:avLst/>
                          </a:prstGeom>
                        </pic:spPr>
                      </pic:pic>
                    </a:graphicData>
                  </a:graphic>
                </wp:inline>
              </w:drawing>
            </w:r>
          </w:p>
          <w:p w14:paraId="5F0F437A" w14:textId="77777777" w:rsidR="0099006B" w:rsidRPr="0099006B" w:rsidRDefault="0099006B" w:rsidP="0099006B">
            <w:pPr>
              <w:spacing w:line="259" w:lineRule="auto"/>
              <w:ind w:left="810"/>
              <w:rPr>
                <w:rFonts w:ascii="Arial" w:eastAsia="Calibri" w:hAnsi="Arial" w:cs="Arial"/>
              </w:rPr>
            </w:pPr>
            <w:r w:rsidRPr="0099006B">
              <w:rPr>
                <w:rFonts w:ascii="Arial" w:eastAsia="Calibri" w:hAnsi="Arial" w:cs="Arial"/>
              </w:rPr>
              <w:t>ii. The functions of materials management can be categorised in the following ways:</w:t>
            </w:r>
          </w:p>
          <w:p w14:paraId="679C945B" w14:textId="77777777" w:rsidR="0099006B" w:rsidRPr="0099006B" w:rsidRDefault="0099006B" w:rsidP="0099006B">
            <w:pPr>
              <w:spacing w:line="259" w:lineRule="auto"/>
              <w:ind w:left="810"/>
              <w:rPr>
                <w:rFonts w:ascii="Arial" w:eastAsia="Calibri" w:hAnsi="Arial" w:cs="Arial"/>
              </w:rPr>
            </w:pPr>
          </w:p>
          <w:p w14:paraId="7CF45C9E"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a. Material Planning and Control</w:t>
            </w:r>
          </w:p>
          <w:p w14:paraId="45921960"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b. Purchasing</w:t>
            </w:r>
          </w:p>
          <w:p w14:paraId="10E45B02"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c. Stores Management</w:t>
            </w:r>
          </w:p>
          <w:p w14:paraId="23841B1E"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d. Inventory Control or Management</w:t>
            </w:r>
          </w:p>
          <w:p w14:paraId="1E111B01"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c. Standardisation</w:t>
            </w:r>
          </w:p>
          <w:p w14:paraId="1145A552"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d. Simplification</w:t>
            </w:r>
          </w:p>
          <w:p w14:paraId="37E3F7DB"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e. Value Analysis</w:t>
            </w:r>
          </w:p>
          <w:p w14:paraId="3FA867D2"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f. Ergonomics</w:t>
            </w:r>
          </w:p>
          <w:p w14:paraId="3AA3C645" w14:textId="77777777" w:rsidR="0099006B" w:rsidRPr="0099006B" w:rsidRDefault="0099006B" w:rsidP="0099006B">
            <w:pPr>
              <w:spacing w:after="160" w:line="259" w:lineRule="auto"/>
              <w:ind w:left="810" w:firstLine="630"/>
              <w:rPr>
                <w:rFonts w:ascii="Arial" w:eastAsia="Calibri" w:hAnsi="Arial" w:cs="Arial"/>
              </w:rPr>
            </w:pPr>
            <w:r w:rsidRPr="0099006B">
              <w:rPr>
                <w:rFonts w:ascii="Arial" w:eastAsia="Calibri" w:hAnsi="Arial" w:cs="Arial"/>
              </w:rPr>
              <w:t>g. Just-in-Time (JIT)</w:t>
            </w:r>
          </w:p>
          <w:p w14:paraId="37FA1CE2"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iii. The implementation of management systems integration should be based on provision of social responsibility and holistic approach to the organisation. It requires a long-term united effort of leaders in a strategic hierarchical level and high organisational maturity to ensure fluently running stages of planning management systems integration, preparing documentations, implementing and realizing the final integrated management system. Also, it is necessary to purify the conception of integrated management system in organisational context. Theoretical analysis of integrated management systems shows, that all of the management systems cannot be well integrated in principle. They can only be partly integrated and coordinated. A need to question the level of integration of management systems is very important as it is in scientific discourse, so it is in practice. Advantages of integrated management systems can certainly become even stronger if managers and leaders joined their forces in search of methods of organisational management development. Practical implications and value demonstrate that in the contemporary world, coordination and supervision of management systems is a complex aim, which needs constant redesigning and innovations; organisations are challenged to optimise their management constantly. One of potentialities can be implementing an integrated management system. Traditionally, it consists of the quality management, employees’ health and safety management, social responsibility management and environmental protection management all migrated to one management system. As there is no international standard, that would submit unambiguous recommendations about ensuring the management system integration, every organisation copes with this assignment on its own.</w:t>
            </w:r>
          </w:p>
          <w:p w14:paraId="1132DF73"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iv.  Organisations need to do business with suppliers that provide the best value, hence we need to know their performance. Critical review of their strength and weaknesses need to be continuously made. The goal in Vendor Assessment is to obtain the best vendor-best value for money spent.</w:t>
            </w:r>
          </w:p>
          <w:p w14:paraId="67B2EDFB"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Most firms want vendors that will produce products and services defect-free and deliver them just in time (or as close to this ideal as reasonably possible). Some type of vehicle is needed to determine which supplying firms are capable of coming satisfactorily close or exceed these goals and thus to be retained as current suppliers. One such vehicle is the vendor rating.</w:t>
            </w:r>
          </w:p>
          <w:p w14:paraId="5660A0A8" w14:textId="77777777" w:rsidR="0099006B" w:rsidRPr="0099006B" w:rsidRDefault="0099006B" w:rsidP="0099006B">
            <w:pPr>
              <w:spacing w:after="160" w:line="259" w:lineRule="auto"/>
              <w:rPr>
                <w:rFonts w:ascii="Arial" w:eastAsia="Calibri" w:hAnsi="Arial" w:cs="Arial"/>
              </w:rPr>
            </w:pPr>
          </w:p>
          <w:p w14:paraId="54002B24" w14:textId="0E62AB68"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 xml:space="preserve">Vendor rating is usually evaluated in the areas of risk, pricing, quality, delivery, and service. Each area has </w:t>
            </w:r>
            <w:r w:rsidRPr="0099006B">
              <w:rPr>
                <w:rFonts w:ascii="Arial" w:eastAsia="Calibri" w:hAnsi="Arial" w:cs="Arial"/>
              </w:rPr>
              <w:t>several</w:t>
            </w:r>
            <w:r w:rsidRPr="0099006B">
              <w:rPr>
                <w:rFonts w:ascii="Arial" w:eastAsia="Calibri" w:hAnsi="Arial" w:cs="Arial"/>
              </w:rPr>
              <w:t xml:space="preserve"> factors that some firms deem critical to successful vendor performance.</w:t>
            </w:r>
          </w:p>
          <w:p w14:paraId="2583E350"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u w:val="single"/>
              </w:rPr>
              <w:t>Pricing factors include the following</w:t>
            </w:r>
            <w:r w:rsidRPr="0099006B">
              <w:rPr>
                <w:rFonts w:ascii="Arial" w:eastAsia="Calibri" w:hAnsi="Arial" w:cs="Arial"/>
              </w:rPr>
              <w:t>:</w:t>
            </w:r>
          </w:p>
          <w:p w14:paraId="4FB448BB"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 xml:space="preserve">a. Competitive pricing. The prices paid should be comparable to those of vendors providing similar product and services. </w:t>
            </w:r>
          </w:p>
          <w:p w14:paraId="52571183"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b. Price stability. Prices should be reasonably stable over time.</w:t>
            </w:r>
          </w:p>
          <w:p w14:paraId="7147B7C9"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c. Price accuracy. There should be a low number of variances from purchase-order prices on invoiced received.</w:t>
            </w:r>
          </w:p>
          <w:p w14:paraId="67629B1E"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d. Advance notice of price changes. The vendor should provide adequate advance notice of price changes.</w:t>
            </w:r>
          </w:p>
          <w:p w14:paraId="4CE5CCE7"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 xml:space="preserve">e. Sensitive to costs. The vendor should demonstrate respect for the customer firm’s bottom line and show an understanding of its needs. </w:t>
            </w:r>
          </w:p>
          <w:p w14:paraId="26F28F30"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f. The vendor should also exhibit knowledge of the market and share this insight with the buying firm.</w:t>
            </w:r>
          </w:p>
          <w:p w14:paraId="426BF30A"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 xml:space="preserve">g. Billing. Are vendor invoices accurate? The average length of time to receive credit memos should be reasonable.  </w:t>
            </w:r>
          </w:p>
          <w:p w14:paraId="42578EDD"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u w:val="single"/>
              </w:rPr>
              <w:t>Quality factors include</w:t>
            </w:r>
            <w:r w:rsidRPr="0099006B">
              <w:rPr>
                <w:rFonts w:ascii="Arial" w:eastAsia="Calibri" w:hAnsi="Arial" w:cs="Arial"/>
              </w:rPr>
              <w:t>:</w:t>
            </w:r>
          </w:p>
          <w:p w14:paraId="34109206"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 xml:space="preserve">a. Compliance with purchase order, contract or agreement. The vendor should comply with terms and conditions as stated in these documents. </w:t>
            </w:r>
          </w:p>
          <w:p w14:paraId="7ABEAC92"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 xml:space="preserve">b. Conformity to specifications. The product or service must conform to the specifications identified in the request for proposal, contract and purchase order. </w:t>
            </w:r>
          </w:p>
          <w:p w14:paraId="7FEF464F"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c. Reliability. Is the rate of product failure within reasonable limits?</w:t>
            </w:r>
          </w:p>
          <w:p w14:paraId="19694CD9"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d. Reliability of repairs. Is all repair and rework acceptable?</w:t>
            </w:r>
          </w:p>
          <w:p w14:paraId="77B5D5F4"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e. Durability. Is the time until replacement is necessary reasonable?</w:t>
            </w:r>
          </w:p>
          <w:p w14:paraId="15DDE987"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f. Support. Is quality support available from the vendor? Immediate response to and resolution of the problem is desirable.</w:t>
            </w:r>
          </w:p>
          <w:p w14:paraId="7D54AB7E"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g. Warranty. The length and provisions of warranty protection offered should be reasonable. Are warranty problems resolved in a timely manner?</w:t>
            </w:r>
          </w:p>
          <w:p w14:paraId="3443FD9B"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h. State-of-the-art product/service. Does the vendor offer products and services that are consistent with the industry state-of-the-art?</w:t>
            </w:r>
          </w:p>
          <w:p w14:paraId="2F64EE77"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i. Enhancements. The vendor should consistently refresh product life by adding enhancements and continuous process improvement. It should also work with the buying firm in new product development.</w:t>
            </w:r>
          </w:p>
          <w:p w14:paraId="4E1D05D3"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u w:val="single"/>
              </w:rPr>
              <w:t>Benefits of vendor rating systems include</w:t>
            </w:r>
            <w:r w:rsidRPr="0099006B">
              <w:rPr>
                <w:rFonts w:ascii="Arial" w:eastAsia="Calibri" w:hAnsi="Arial" w:cs="Arial"/>
              </w:rPr>
              <w:t>:</w:t>
            </w:r>
          </w:p>
          <w:p w14:paraId="4A754B24"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a. Helping minimise subjectivity in judgment and make it possible to consider all relevant criteria in assessing suppliers.</w:t>
            </w:r>
          </w:p>
          <w:p w14:paraId="10D0759A"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b. Providing feedback from all areas in one package.</w:t>
            </w:r>
          </w:p>
          <w:p w14:paraId="283C6066"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c. Facilitating better communication with vendors.</w:t>
            </w:r>
          </w:p>
          <w:p w14:paraId="2F4AFF86"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d. Providing overall control of the vendor base.</w:t>
            </w:r>
          </w:p>
          <w:p w14:paraId="6B3982AE"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e. Requiring specific action to correct identified performance weaknesses.</w:t>
            </w:r>
          </w:p>
          <w:p w14:paraId="18574699" w14:textId="77777777" w:rsidR="0099006B" w:rsidRPr="0099006B" w:rsidRDefault="0099006B" w:rsidP="0099006B">
            <w:pPr>
              <w:spacing w:after="160" w:line="259" w:lineRule="auto"/>
              <w:ind w:left="720"/>
              <w:rPr>
                <w:rFonts w:ascii="Arial" w:eastAsia="Calibri" w:hAnsi="Arial" w:cs="Arial"/>
              </w:rPr>
            </w:pPr>
            <w:r w:rsidRPr="0099006B">
              <w:rPr>
                <w:rFonts w:ascii="Arial" w:eastAsia="Calibri" w:hAnsi="Arial" w:cs="Arial"/>
              </w:rPr>
              <w:t>f. Establishing continuous review standards for vendors, thus ensuring continuous improvement of vendor performance.</w:t>
            </w:r>
          </w:p>
          <w:p w14:paraId="673C18F2"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g. Building vendor partnerships, especially with suppliers having strategic links.</w:t>
            </w:r>
          </w:p>
          <w:p w14:paraId="0795F30E"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h. Providing risk-based assessments.</w:t>
            </w:r>
          </w:p>
          <w:p w14:paraId="1E9A0C39" w14:textId="77777777" w:rsidR="0099006B" w:rsidRPr="0099006B" w:rsidRDefault="0099006B" w:rsidP="0099006B">
            <w:pPr>
              <w:spacing w:after="160" w:line="259" w:lineRule="auto"/>
              <w:ind w:firstLine="720"/>
              <w:rPr>
                <w:rFonts w:ascii="Arial" w:eastAsia="Calibri" w:hAnsi="Arial" w:cs="Arial"/>
              </w:rPr>
            </w:pPr>
            <w:r w:rsidRPr="0099006B">
              <w:rPr>
                <w:rFonts w:ascii="Arial" w:eastAsia="Calibri" w:hAnsi="Arial" w:cs="Arial"/>
              </w:rPr>
              <w:t>i. Developing a performance-based culture.</w:t>
            </w:r>
          </w:p>
          <w:p w14:paraId="16D399A9"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 xml:space="preserve">v. Modern manufacturers work with a wide range of suppliers, and supply chains are growing increasingly complicated. The growing need to cut prices for the consumer means margins are being squeezed like never before. In order to maintain profitability and drive efficiencies, these companies are turning to supplier relationship management as a controlled and systematic approach to sourcing the goods and materials they need. There are several benefits associated with supplier relationship management, and they all culminate in a healthier bottom line. </w:t>
            </w:r>
          </w:p>
          <w:p w14:paraId="4EBAAFA7" w14:textId="77777777" w:rsidR="0099006B" w:rsidRPr="0099006B" w:rsidRDefault="0099006B" w:rsidP="0099006B">
            <w:pPr>
              <w:spacing w:after="160" w:line="259" w:lineRule="auto"/>
              <w:rPr>
                <w:rFonts w:ascii="Arial" w:eastAsia="Calibri" w:hAnsi="Arial" w:cs="Arial"/>
                <w:b/>
                <w:bCs/>
              </w:rPr>
            </w:pPr>
            <w:r w:rsidRPr="0099006B">
              <w:rPr>
                <w:rFonts w:ascii="Arial" w:eastAsia="Calibri" w:hAnsi="Arial" w:cs="Arial"/>
                <w:b/>
                <w:bCs/>
              </w:rPr>
              <w:t>Reduced costs</w:t>
            </w:r>
          </w:p>
          <w:p w14:paraId="6AF1698A"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There are usually some significant costs involved in setting up deals with new suppliers, but a supplier relationship management programme can eliminate many of those costs.</w:t>
            </w:r>
          </w:p>
          <w:p w14:paraId="4A6AC519"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By cooperating in a mutually beneficial relationship with key suppliers, a company can strive for cost savings over the long term.</w:t>
            </w:r>
          </w:p>
          <w:p w14:paraId="7D18348F"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Good working relationships with suppliers will not only deliver cost savings, they will reduce availability problems, delays and quality issues - and that means a better service for the consumer.</w:t>
            </w:r>
          </w:p>
          <w:p w14:paraId="24A5420B" w14:textId="77777777" w:rsidR="0099006B" w:rsidRPr="0099006B" w:rsidRDefault="0099006B" w:rsidP="0099006B">
            <w:pPr>
              <w:spacing w:after="160" w:line="259" w:lineRule="auto"/>
              <w:rPr>
                <w:rFonts w:ascii="Arial" w:eastAsia="Calibri" w:hAnsi="Arial" w:cs="Arial"/>
                <w:b/>
                <w:bCs/>
              </w:rPr>
            </w:pPr>
            <w:r w:rsidRPr="0099006B">
              <w:rPr>
                <w:rFonts w:ascii="Arial" w:eastAsia="Calibri" w:hAnsi="Arial" w:cs="Arial"/>
                <w:b/>
                <w:bCs/>
              </w:rPr>
              <w:t>Increased efficiency</w:t>
            </w:r>
          </w:p>
          <w:p w14:paraId="72E36FA4"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As a defined and establish supplier relationship develops, communication improves. Suppliers gain a more complete understanding of the businesses they serve, and this allows them to meet their needs more effectively. Delays in the supply chain will decrease, and the flow of operations will greatly improve.</w:t>
            </w:r>
          </w:p>
          <w:p w14:paraId="1A3EEA01"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And when issues in the ordering process do arise, the healthy working relationship between supplier and client will make such issues easier to resolve.</w:t>
            </w:r>
          </w:p>
          <w:p w14:paraId="7AA3F2EA" w14:textId="77777777" w:rsidR="0099006B" w:rsidRPr="0099006B" w:rsidRDefault="0099006B" w:rsidP="0099006B">
            <w:pPr>
              <w:spacing w:after="160" w:line="259" w:lineRule="auto"/>
              <w:rPr>
                <w:rFonts w:ascii="Arial" w:eastAsia="Calibri" w:hAnsi="Arial" w:cs="Arial"/>
                <w:b/>
                <w:bCs/>
              </w:rPr>
            </w:pPr>
            <w:r w:rsidRPr="0099006B">
              <w:rPr>
                <w:rFonts w:ascii="Arial" w:eastAsia="Calibri" w:hAnsi="Arial" w:cs="Arial"/>
                <w:b/>
                <w:bCs/>
              </w:rPr>
              <w:t>Minimises price volatility</w:t>
            </w:r>
          </w:p>
          <w:p w14:paraId="7EAAF0F1" w14:textId="7303E2C1"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 xml:space="preserve">Nothing spooks consumers more than huge fluctuations in market prices. In some cases, these fluctuations are as a direct result of </w:t>
            </w:r>
            <w:r w:rsidRPr="0099006B">
              <w:rPr>
                <w:rFonts w:ascii="Arial" w:eastAsia="Calibri" w:hAnsi="Arial" w:cs="Arial"/>
              </w:rPr>
              <w:t>increased</w:t>
            </w:r>
            <w:r w:rsidRPr="0099006B">
              <w:rPr>
                <w:rFonts w:ascii="Arial" w:eastAsia="Calibri" w:hAnsi="Arial" w:cs="Arial"/>
              </w:rPr>
              <w:t xml:space="preserve"> volatility of commodity prices. However, by adopting the principles of supplier relationship management, companies can often take advantage of fixed pricing or scaled increases in exchange for lengthier contract terms, minimum order levels or various other qualifying criteria.</w:t>
            </w:r>
          </w:p>
          <w:p w14:paraId="7EEA4A27"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Having a clear and unambiguous cost base allows a business to set its own pricing structures with some certainty, and that often translates to happier, more loyal customers.</w:t>
            </w:r>
          </w:p>
          <w:p w14:paraId="7D2BBD10" w14:textId="77777777" w:rsidR="0099006B" w:rsidRPr="0099006B" w:rsidRDefault="0099006B" w:rsidP="0099006B">
            <w:pPr>
              <w:spacing w:after="160" w:line="259" w:lineRule="auto"/>
              <w:rPr>
                <w:rFonts w:ascii="Arial" w:eastAsia="Calibri" w:hAnsi="Arial" w:cs="Arial"/>
                <w:b/>
                <w:bCs/>
              </w:rPr>
            </w:pPr>
            <w:r w:rsidRPr="0099006B">
              <w:rPr>
                <w:rFonts w:ascii="Arial" w:eastAsia="Calibri" w:hAnsi="Arial" w:cs="Arial"/>
                <w:b/>
                <w:bCs/>
              </w:rPr>
              <w:t>Consolidation of the supply chain</w:t>
            </w:r>
          </w:p>
          <w:p w14:paraId="12011B9B"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As specific areas of both the supplier's and buyer's business work together, this allows both parties to better understand the inner workings of the other. In some cases, both parties will be able to adapt their own working practices and operations to better accommodate the other, and that can lead to further efficiencies and operational advantages.</w:t>
            </w:r>
          </w:p>
          <w:p w14:paraId="4F8CC879"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The consolidation of the supply chain may allow buyers to reduce the number of suppliers they purchase from - streamlining the purchasing process and making budgeting a far simpler task.</w:t>
            </w:r>
          </w:p>
          <w:p w14:paraId="66F3A884" w14:textId="77777777" w:rsidR="0099006B" w:rsidRPr="0099006B" w:rsidRDefault="0099006B" w:rsidP="0099006B">
            <w:pPr>
              <w:spacing w:after="160" w:line="259" w:lineRule="auto"/>
              <w:rPr>
                <w:rFonts w:ascii="Arial" w:eastAsia="Calibri" w:hAnsi="Arial" w:cs="Arial"/>
                <w:b/>
                <w:bCs/>
              </w:rPr>
            </w:pPr>
            <w:r w:rsidRPr="0099006B">
              <w:rPr>
                <w:rFonts w:ascii="Arial" w:eastAsia="Calibri" w:hAnsi="Arial" w:cs="Arial"/>
                <w:b/>
                <w:bCs/>
              </w:rPr>
              <w:t>Outsourcing certain activities</w:t>
            </w:r>
          </w:p>
          <w:p w14:paraId="2C94B2A3"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 successful supplier relationship management programme will often create a trusting partnership between a buyer and a supplier. In some cases, this may result in many key activities being transferred to the supplier on a permanent basis. This may include entrusting a supplier with the management of inventory levels and some elements of customer service.</w:t>
            </w:r>
          </w:p>
          <w:p w14:paraId="5F95D328" w14:textId="77777777" w:rsidR="0099006B" w:rsidRPr="0099006B" w:rsidRDefault="0099006B" w:rsidP="0099006B">
            <w:pPr>
              <w:spacing w:after="160" w:line="259" w:lineRule="auto"/>
              <w:rPr>
                <w:rFonts w:ascii="Arial" w:eastAsia="Calibri" w:hAnsi="Arial" w:cs="Arial"/>
                <w:b/>
                <w:bCs/>
              </w:rPr>
            </w:pPr>
            <w:r w:rsidRPr="0099006B">
              <w:rPr>
                <w:rFonts w:ascii="Arial" w:eastAsia="Calibri" w:hAnsi="Arial" w:cs="Arial"/>
                <w:b/>
                <w:bCs/>
              </w:rPr>
              <w:t>Continual improvement of operations</w:t>
            </w:r>
          </w:p>
          <w:p w14:paraId="11D28B5D"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 long-term relationship between supplier and buyer allows for the free flow of feedback and ideas. Over time, this will create a more streamlined, effective supply chain that could have a positive impact on both costs and customer service.</w:t>
            </w:r>
          </w:p>
          <w:p w14:paraId="55391C7E"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The areas of product development, instigating new ordering processes and inventory control can become a joint venture, and that can deliver a range of financial and operational benefits to both parties.</w:t>
            </w:r>
          </w:p>
          <w:p w14:paraId="0B06DFF9"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rPr>
              <w:t>An integral component of many </w:t>
            </w:r>
            <w:hyperlink r:id="rId10" w:history="1">
              <w:r w:rsidRPr="0099006B">
                <w:rPr>
                  <w:rFonts w:ascii="Arial" w:eastAsia="Calibri" w:hAnsi="Arial" w:cs="Arial"/>
                </w:rPr>
                <w:t>ERP software</w:t>
              </w:r>
            </w:hyperlink>
            <w:r w:rsidRPr="0099006B">
              <w:rPr>
                <w:rFonts w:ascii="Arial" w:eastAsia="Calibri" w:hAnsi="Arial" w:cs="Arial"/>
              </w:rPr>
              <w:t> solutions is </w:t>
            </w:r>
            <w:hyperlink r:id="rId11" w:history="1">
              <w:r w:rsidRPr="0099006B">
                <w:rPr>
                  <w:rFonts w:ascii="Arial" w:eastAsia="Calibri" w:hAnsi="Arial" w:cs="Arial"/>
                </w:rPr>
                <w:t>supplier relationship management</w:t>
              </w:r>
            </w:hyperlink>
            <w:r w:rsidRPr="0099006B">
              <w:rPr>
                <w:rFonts w:ascii="Arial" w:eastAsia="Calibri" w:hAnsi="Arial" w:cs="Arial"/>
              </w:rPr>
              <w:t>. Working together with its suppliers, a company can tailor its supply chain to meet its individual needs. Processes can be consolidated; costs can be reduced and the end product for the consumer can be improved. Through a combination savings and efficiencies, companies can create a healthier bottom line despite underlying weakness in their sector.</w:t>
            </w:r>
          </w:p>
          <w:p w14:paraId="21CB10E7" w14:textId="77777777" w:rsidR="0099006B" w:rsidRPr="0099006B" w:rsidRDefault="0099006B" w:rsidP="0099006B">
            <w:pPr>
              <w:spacing w:after="160" w:line="259" w:lineRule="auto"/>
              <w:rPr>
                <w:rFonts w:ascii="Arial" w:eastAsia="Calibri" w:hAnsi="Arial" w:cs="Arial"/>
              </w:rPr>
            </w:pPr>
          </w:p>
          <w:p w14:paraId="06541F4D" w14:textId="77777777" w:rsidR="0099006B" w:rsidRPr="0099006B" w:rsidRDefault="0099006B" w:rsidP="0099006B">
            <w:pPr>
              <w:spacing w:after="160" w:line="259" w:lineRule="auto"/>
              <w:rPr>
                <w:rFonts w:ascii="Arial" w:eastAsia="Calibri" w:hAnsi="Arial" w:cs="Arial"/>
              </w:rPr>
            </w:pPr>
            <w:r w:rsidRPr="0099006B">
              <w:rPr>
                <w:rFonts w:ascii="Arial" w:eastAsia="Calibri" w:hAnsi="Arial" w:cs="Arial"/>
                <w:b/>
                <w:bCs/>
              </w:rPr>
              <w:t xml:space="preserve">Activity </w:t>
            </w:r>
          </w:p>
          <w:p w14:paraId="644174FC" w14:textId="77777777" w:rsidR="0099006B" w:rsidRPr="0099006B" w:rsidRDefault="0099006B" w:rsidP="0099006B">
            <w:pPr>
              <w:spacing w:line="259" w:lineRule="auto"/>
              <w:rPr>
                <w:rFonts w:ascii="Arial" w:eastAsia="Calibri" w:hAnsi="Arial" w:cs="Arial"/>
              </w:rPr>
            </w:pPr>
            <w:r w:rsidRPr="0099006B">
              <w:rPr>
                <w:rFonts w:ascii="Arial" w:eastAsia="Calibri" w:hAnsi="Arial" w:cs="Arial"/>
              </w:rPr>
              <w:t>Visit an organisation which has already computerised its materials management department.</w:t>
            </w:r>
          </w:p>
          <w:p w14:paraId="3E31C13D" w14:textId="77777777" w:rsidR="0099006B" w:rsidRPr="0099006B" w:rsidRDefault="0099006B" w:rsidP="0099006B">
            <w:pPr>
              <w:spacing w:line="259" w:lineRule="auto"/>
              <w:rPr>
                <w:rFonts w:ascii="Arial" w:eastAsia="Calibri" w:hAnsi="Arial" w:cs="Arial"/>
              </w:rPr>
            </w:pPr>
            <w:r w:rsidRPr="0099006B">
              <w:rPr>
                <w:rFonts w:ascii="Arial" w:eastAsia="Calibri" w:hAnsi="Arial" w:cs="Arial"/>
              </w:rPr>
              <w:t>Study the system design for materials management, classification &amp; coding system and find out any correction or modification required.</w:t>
            </w:r>
          </w:p>
          <w:p w14:paraId="15CF04E6" w14:textId="77777777" w:rsidR="0099006B" w:rsidRPr="0099006B" w:rsidRDefault="0099006B" w:rsidP="0099006B">
            <w:pPr>
              <w:spacing w:line="259" w:lineRule="auto"/>
              <w:rPr>
                <w:rFonts w:ascii="Arial" w:eastAsia="Calibri" w:hAnsi="Arial" w:cs="Arial"/>
              </w:rPr>
            </w:pPr>
          </w:p>
          <w:p w14:paraId="41FBA6D3" w14:textId="6AB3F6D7" w:rsidR="0099006B" w:rsidRDefault="0099006B" w:rsidP="0099006B">
            <w:pPr>
              <w:spacing w:line="259" w:lineRule="auto"/>
              <w:rPr>
                <w:rFonts w:ascii="Arial" w:eastAsia="Calibri" w:hAnsi="Arial" w:cs="Arial"/>
              </w:rPr>
            </w:pPr>
            <w:r w:rsidRPr="0099006B">
              <w:rPr>
                <w:rFonts w:ascii="Arial" w:eastAsia="Calibri" w:hAnsi="Arial" w:cs="Arial"/>
              </w:rPr>
              <w:t>a. Completed at Tata Steel on Monday 05 Aug 19. No correction or modification required.</w:t>
            </w:r>
          </w:p>
          <w:p w14:paraId="15117D23" w14:textId="77777777" w:rsidR="0099006B" w:rsidRPr="0099006B" w:rsidRDefault="0099006B" w:rsidP="0099006B">
            <w:pPr>
              <w:spacing w:line="259" w:lineRule="auto"/>
              <w:rPr>
                <w:rFonts w:ascii="Arial" w:eastAsia="Calibri" w:hAnsi="Arial" w:cs="Arial"/>
              </w:rPr>
            </w:pPr>
          </w:p>
          <w:p w14:paraId="6E3BBA20" w14:textId="77777777" w:rsidR="0099006B" w:rsidRPr="0099006B" w:rsidRDefault="0099006B" w:rsidP="0099006B">
            <w:pPr>
              <w:spacing w:line="259" w:lineRule="auto"/>
              <w:rPr>
                <w:rFonts w:ascii="Arial" w:eastAsia="Calibri" w:hAnsi="Arial" w:cs="Arial"/>
              </w:rPr>
            </w:pPr>
            <w:r w:rsidRPr="0099006B">
              <w:rPr>
                <w:rFonts w:ascii="Arial" w:eastAsia="Calibri" w:hAnsi="Arial" w:cs="Arial"/>
                <w:b/>
                <w:bCs/>
              </w:rPr>
              <w:t>References</w:t>
            </w:r>
            <w:r w:rsidRPr="0099006B">
              <w:rPr>
                <w:rFonts w:ascii="Arial" w:eastAsia="Calibri" w:hAnsi="Arial" w:cs="Arial"/>
              </w:rPr>
              <w:t xml:space="preserve">: </w:t>
            </w:r>
          </w:p>
          <w:p w14:paraId="046056CA" w14:textId="77777777" w:rsidR="0099006B" w:rsidRPr="0099006B" w:rsidRDefault="0099006B" w:rsidP="0099006B">
            <w:pPr>
              <w:spacing w:line="259" w:lineRule="auto"/>
              <w:rPr>
                <w:rFonts w:ascii="Arial" w:eastAsia="Calibri" w:hAnsi="Arial" w:cs="Arial"/>
              </w:rPr>
            </w:pPr>
            <w:r w:rsidRPr="0099006B">
              <w:rPr>
                <w:rFonts w:ascii="Arial" w:eastAsia="Calibri" w:hAnsi="Arial" w:cs="Arial"/>
              </w:rPr>
              <w:t>a. Austutis NEBOSH Certificate in Construction Health &amp; Safety workbook. Dated Nov 18.</w:t>
            </w:r>
          </w:p>
          <w:p w14:paraId="7EEE2BEA" w14:textId="440BA23D" w:rsidR="0099006B" w:rsidRDefault="0099006B" w:rsidP="0099006B">
            <w:pPr>
              <w:spacing w:line="259" w:lineRule="auto"/>
              <w:rPr>
                <w:rFonts w:ascii="Arial" w:eastAsia="Calibri" w:hAnsi="Arial" w:cs="Arial"/>
              </w:rPr>
            </w:pPr>
            <w:r w:rsidRPr="0099006B">
              <w:rPr>
                <w:rFonts w:ascii="Arial" w:eastAsia="Calibri" w:hAnsi="Arial" w:cs="Arial"/>
              </w:rPr>
              <w:t>b. Austutis NEBOSH National General Certificate course workbook. Dated Nov 18.</w:t>
            </w:r>
          </w:p>
          <w:p w14:paraId="0D5BD681" w14:textId="212DE932" w:rsidR="0099006B" w:rsidRDefault="0099006B" w:rsidP="0099006B">
            <w:pPr>
              <w:spacing w:line="259" w:lineRule="auto"/>
              <w:rPr>
                <w:rFonts w:ascii="Arial" w:eastAsia="Calibri" w:hAnsi="Arial" w:cs="Arial"/>
              </w:rPr>
            </w:pPr>
            <w:r>
              <w:rPr>
                <w:rFonts w:ascii="Arial" w:eastAsia="Calibri" w:hAnsi="Arial" w:cs="Arial"/>
              </w:rPr>
              <w:t xml:space="preserve">c. </w:t>
            </w:r>
            <w:r w:rsidRPr="0099006B">
              <w:rPr>
                <w:rFonts w:ascii="Arial" w:eastAsia="Calibri" w:hAnsi="Arial" w:cs="Arial"/>
              </w:rPr>
              <w:t>Buvik A. The industrial purchasing research framework: a comparison of theoretical perspectives from micro-economics, marketing and organization science. J Bus Ind Mark 2001</w:t>
            </w:r>
          </w:p>
          <w:p w14:paraId="7957F608" w14:textId="49396977" w:rsidR="0099006B" w:rsidRPr="0099006B" w:rsidRDefault="0099006B" w:rsidP="0099006B">
            <w:pPr>
              <w:spacing w:line="259" w:lineRule="auto"/>
              <w:rPr>
                <w:rFonts w:ascii="Arial" w:eastAsia="Calibri" w:hAnsi="Arial" w:cs="Arial"/>
              </w:rPr>
            </w:pPr>
            <w:r>
              <w:rPr>
                <w:rFonts w:ascii="Arial" w:eastAsia="Calibri" w:hAnsi="Arial" w:cs="Arial"/>
              </w:rPr>
              <w:t xml:space="preserve">d. </w:t>
            </w:r>
            <w:r w:rsidRPr="0099006B">
              <w:rPr>
                <w:rFonts w:ascii="Arial" w:eastAsia="Calibri" w:hAnsi="Arial" w:cs="Arial"/>
              </w:rPr>
              <w:t>Chicksand D, Watson G, Walker H, Radnor Z, Johnston R. Theoretical perspectives in purchasing and supply chain management: an analysis of the literature.</w:t>
            </w:r>
          </w:p>
          <w:p w14:paraId="1217BA7A" w14:textId="20E63BEB" w:rsidR="0099006B" w:rsidRPr="0099006B" w:rsidRDefault="0099006B" w:rsidP="0099006B">
            <w:pPr>
              <w:spacing w:line="259" w:lineRule="auto"/>
              <w:rPr>
                <w:rFonts w:ascii="Arial" w:eastAsia="Calibri" w:hAnsi="Arial" w:cs="Arial"/>
              </w:rPr>
            </w:pPr>
            <w:r>
              <w:rPr>
                <w:rFonts w:ascii="Arial" w:eastAsia="Calibri" w:hAnsi="Arial" w:cs="Arial"/>
              </w:rPr>
              <w:t>e</w:t>
            </w:r>
            <w:r w:rsidRPr="0099006B">
              <w:rPr>
                <w:rFonts w:ascii="Arial" w:eastAsia="Calibri" w:hAnsi="Arial" w:cs="Arial"/>
              </w:rPr>
              <w:t>. Integrated management system: The integration of ISO 9001, ISO 14001, OHSAS 18001 and ISO 31000. Dated March 2017</w:t>
            </w:r>
          </w:p>
          <w:p w14:paraId="3359A793" w14:textId="6BB5EABA" w:rsidR="0099006B" w:rsidRPr="0099006B" w:rsidRDefault="0099006B" w:rsidP="0099006B">
            <w:pPr>
              <w:spacing w:line="259" w:lineRule="auto"/>
              <w:rPr>
                <w:rFonts w:ascii="Arial" w:eastAsia="Calibri" w:hAnsi="Arial" w:cs="Arial"/>
              </w:rPr>
            </w:pPr>
            <w:r>
              <w:rPr>
                <w:rFonts w:ascii="Arial" w:eastAsia="Calibri" w:hAnsi="Arial" w:cs="Arial"/>
              </w:rPr>
              <w:t>f</w:t>
            </w:r>
            <w:r w:rsidRPr="0099006B">
              <w:rPr>
                <w:rFonts w:ascii="Arial" w:eastAsia="Calibri" w:hAnsi="Arial" w:cs="Arial"/>
              </w:rPr>
              <w:t>. Prospects of a Unified Management System. Corporate Social Responsibility and Environmental Management. Dated Jan 2002</w:t>
            </w:r>
          </w:p>
          <w:p w14:paraId="117E704C" w14:textId="7BEE6620" w:rsidR="0099006B" w:rsidRPr="0099006B" w:rsidRDefault="0099006B" w:rsidP="0099006B">
            <w:pPr>
              <w:spacing w:line="259" w:lineRule="auto"/>
              <w:rPr>
                <w:rFonts w:ascii="Arial" w:eastAsia="Calibri" w:hAnsi="Arial" w:cs="Arial"/>
              </w:rPr>
            </w:pPr>
            <w:r>
              <w:rPr>
                <w:rFonts w:ascii="Arial" w:eastAsia="Calibri" w:hAnsi="Arial" w:cs="Arial"/>
              </w:rPr>
              <w:t>g</w:t>
            </w:r>
            <w:r w:rsidRPr="0099006B">
              <w:rPr>
                <w:rFonts w:ascii="Arial" w:eastAsia="Calibri" w:hAnsi="Arial" w:cs="Arial"/>
              </w:rPr>
              <w:t>. Integrated Management System (IMS) in Small and Medium Enterprises. Dated July 2000</w:t>
            </w:r>
          </w:p>
          <w:p w14:paraId="3AA6C86F" w14:textId="7FC57A60" w:rsidR="0099006B" w:rsidRPr="0099006B" w:rsidRDefault="0099006B" w:rsidP="0099006B">
            <w:pPr>
              <w:spacing w:line="259" w:lineRule="auto"/>
              <w:rPr>
                <w:rFonts w:ascii="Arial" w:eastAsia="Calibri" w:hAnsi="Arial" w:cs="Arial"/>
              </w:rPr>
            </w:pPr>
            <w:r>
              <w:rPr>
                <w:rFonts w:ascii="Arial" w:eastAsia="Calibri" w:hAnsi="Arial" w:cs="Arial"/>
              </w:rPr>
              <w:t>h</w:t>
            </w:r>
            <w:r w:rsidRPr="0099006B">
              <w:rPr>
                <w:rFonts w:ascii="Arial" w:eastAsia="Calibri" w:hAnsi="Arial" w:cs="Arial"/>
              </w:rPr>
              <w:t>. Quality and Safety Management Practices: The Theory of Quality Management Approach. Dated March 2019</w:t>
            </w:r>
          </w:p>
          <w:p w14:paraId="3C1F8D2E" w14:textId="26F63C0C" w:rsidR="0099006B" w:rsidRPr="0099006B" w:rsidRDefault="0099006B" w:rsidP="0099006B">
            <w:pPr>
              <w:spacing w:line="259" w:lineRule="auto"/>
              <w:rPr>
                <w:rFonts w:ascii="Arial" w:eastAsia="Calibri" w:hAnsi="Arial" w:cs="Arial"/>
              </w:rPr>
            </w:pPr>
            <w:r>
              <w:rPr>
                <w:rFonts w:ascii="Arial" w:eastAsia="Calibri" w:hAnsi="Arial" w:cs="Arial"/>
              </w:rPr>
              <w:t>i</w:t>
            </w:r>
            <w:r w:rsidRPr="0099006B">
              <w:rPr>
                <w:rFonts w:ascii="Arial" w:eastAsia="Calibri" w:hAnsi="Arial" w:cs="Arial"/>
              </w:rPr>
              <w:t>. Limitless Vendor Management Solution (VMS) system.</w:t>
            </w:r>
          </w:p>
          <w:p w14:paraId="11A5D64E" w14:textId="3F811929" w:rsidR="0099006B" w:rsidRPr="0099006B" w:rsidRDefault="0099006B" w:rsidP="0099006B">
            <w:pPr>
              <w:spacing w:line="259" w:lineRule="auto"/>
              <w:rPr>
                <w:rFonts w:ascii="Arial" w:eastAsia="Calibri" w:hAnsi="Arial" w:cs="Arial"/>
              </w:rPr>
            </w:pPr>
            <w:r>
              <w:rPr>
                <w:rFonts w:ascii="Arial" w:eastAsia="Calibri" w:hAnsi="Arial" w:cs="Arial"/>
              </w:rPr>
              <w:t>j</w:t>
            </w:r>
            <w:bookmarkStart w:id="0" w:name="_GoBack"/>
            <w:bookmarkEnd w:id="0"/>
            <w:r w:rsidRPr="0099006B">
              <w:rPr>
                <w:rFonts w:ascii="Arial" w:eastAsia="Calibri" w:hAnsi="Arial" w:cs="Arial"/>
              </w:rPr>
              <w:t>. Johnston WJ, Lewin JE. Organizational buying behavior: toward an integrative framework.</w:t>
            </w:r>
          </w:p>
          <w:p w14:paraId="221B20B1" w14:textId="77777777" w:rsidR="0099006B" w:rsidRPr="0099006B" w:rsidRDefault="0099006B" w:rsidP="0099006B">
            <w:pPr>
              <w:spacing w:line="259" w:lineRule="auto"/>
              <w:rPr>
                <w:rFonts w:ascii="Arial" w:eastAsia="Calibri" w:hAnsi="Arial" w:cs="Arial"/>
              </w:rPr>
            </w:pPr>
            <w:r w:rsidRPr="0099006B">
              <w:rPr>
                <w:rFonts w:ascii="Arial" w:eastAsia="Calibri" w:hAnsi="Arial" w:cs="Arial"/>
              </w:rPr>
              <w:t>k. Knight L. Network learning: exploring learning by interorganizational networks. Human Relations 2002;</w:t>
            </w:r>
          </w:p>
          <w:p w14:paraId="2E5EF2BE" w14:textId="130A5E8D" w:rsidR="00CC2FB3" w:rsidRPr="00835DB9" w:rsidRDefault="00CC2FB3" w:rsidP="00D3778A">
            <w:pPr>
              <w:spacing w:line="259" w:lineRule="auto"/>
              <w:rPr>
                <w:rFonts w:ascii="Arial" w:eastAsia="Calibri" w:hAnsi="Arial" w:cs="Arial"/>
              </w:rPr>
            </w:pPr>
          </w:p>
        </w:tc>
      </w:tr>
      <w:tr w:rsidR="00881CC7" w14:paraId="5ACFF1DE" w14:textId="77777777" w:rsidTr="00CC2FB3">
        <w:tc>
          <w:tcPr>
            <w:tcW w:w="9242" w:type="dxa"/>
          </w:tcPr>
          <w:p w14:paraId="0F2D6031" w14:textId="77777777" w:rsidR="00881CC7" w:rsidRPr="00881CC7" w:rsidRDefault="00881CC7" w:rsidP="00881CC7">
            <w:pPr>
              <w:rPr>
                <w:rFonts w:ascii="Arial" w:hAnsi="Arial" w:cs="Arial"/>
                <w:sz w:val="24"/>
                <w:szCs w:val="24"/>
              </w:rPr>
            </w:pPr>
          </w:p>
        </w:tc>
      </w:tr>
    </w:tbl>
    <w:p w14:paraId="293CAB5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86466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47CB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1CD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05DC8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33"/>
        <w:gridCol w:w="1246"/>
        <w:gridCol w:w="1586"/>
      </w:tblGrid>
      <w:tr w:rsidR="00405895" w:rsidRPr="00B0415E" w14:paraId="706C1CD6" w14:textId="77777777" w:rsidTr="00405895">
        <w:tc>
          <w:tcPr>
            <w:tcW w:w="2310" w:type="dxa"/>
            <w:shd w:val="clear" w:color="auto" w:fill="D9D9D9" w:themeFill="background1" w:themeFillShade="D9"/>
          </w:tcPr>
          <w:p w14:paraId="77EB1B8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8B47F6" w14:textId="04BE4186" w:rsidR="00405895" w:rsidRPr="00B0415E" w:rsidRDefault="00881CC7" w:rsidP="00A851DA">
            <w:pPr>
              <w:rPr>
                <w:rFonts w:cs="Bliss-Regular"/>
                <w:color w:val="000000"/>
              </w:rPr>
            </w:pPr>
            <w:r>
              <w:rPr>
                <w:noProof/>
              </w:rPr>
              <w:drawing>
                <wp:inline distT="0" distB="0" distL="0" distR="0" wp14:anchorId="6173A83A" wp14:editId="5E859625">
                  <wp:extent cx="1057275" cy="377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3831" cy="386742"/>
                          </a:xfrm>
                          <a:prstGeom prst="rect">
                            <a:avLst/>
                          </a:prstGeom>
                          <a:noFill/>
                          <a:ln>
                            <a:noFill/>
                          </a:ln>
                        </pic:spPr>
                      </pic:pic>
                    </a:graphicData>
                  </a:graphic>
                </wp:inline>
              </w:drawing>
            </w:r>
          </w:p>
        </w:tc>
        <w:tc>
          <w:tcPr>
            <w:tcW w:w="1276" w:type="dxa"/>
            <w:shd w:val="clear" w:color="auto" w:fill="D9D9D9" w:themeFill="background1" w:themeFillShade="D9"/>
          </w:tcPr>
          <w:p w14:paraId="2754540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294C97" w14:textId="1D93D734" w:rsidR="00405895" w:rsidRPr="00B0415E" w:rsidRDefault="0099006B" w:rsidP="00A851DA">
            <w:pPr>
              <w:rPr>
                <w:rFonts w:cs="Bliss-Regular"/>
                <w:color w:val="000000"/>
              </w:rPr>
            </w:pPr>
            <w:r>
              <w:rPr>
                <w:rFonts w:cs="Bliss-Regular"/>
                <w:color w:val="000000"/>
              </w:rPr>
              <w:t>0608</w:t>
            </w:r>
            <w:r w:rsidR="00E73F90">
              <w:rPr>
                <w:rFonts w:cs="Bliss-Regular"/>
                <w:color w:val="000000"/>
              </w:rPr>
              <w:t>19</w:t>
            </w:r>
          </w:p>
        </w:tc>
      </w:tr>
    </w:tbl>
    <w:p w14:paraId="22CFB3AB" w14:textId="77777777" w:rsidR="00A851DA" w:rsidRPr="00B0415E" w:rsidRDefault="00A851DA" w:rsidP="00A851DA">
      <w:pPr>
        <w:rPr>
          <w:rFonts w:cs="Bliss-Regular"/>
          <w:color w:val="000000"/>
          <w:lang w:val="en-US"/>
        </w:rPr>
      </w:pPr>
    </w:p>
    <w:p w14:paraId="152C6DC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B3DBC80" w14:textId="77777777" w:rsidTr="00B0415E">
        <w:trPr>
          <w:trHeight w:val="249"/>
        </w:trPr>
        <w:tc>
          <w:tcPr>
            <w:tcW w:w="4621" w:type="dxa"/>
            <w:shd w:val="clear" w:color="auto" w:fill="D9D9D9" w:themeFill="background1" w:themeFillShade="D9"/>
          </w:tcPr>
          <w:p w14:paraId="647C5025" w14:textId="77777777" w:rsidR="00503D7E" w:rsidRPr="00B0415E" w:rsidRDefault="00503D7E" w:rsidP="00503D7E">
            <w:pPr>
              <w:rPr>
                <w:b/>
                <w:color w:val="002060"/>
              </w:rPr>
            </w:pPr>
            <w:r w:rsidRPr="00B0415E">
              <w:rPr>
                <w:b/>
                <w:color w:val="002060"/>
              </w:rPr>
              <w:t>Total Marks</w:t>
            </w:r>
          </w:p>
        </w:tc>
        <w:tc>
          <w:tcPr>
            <w:tcW w:w="4621" w:type="dxa"/>
          </w:tcPr>
          <w:p w14:paraId="101B8804" w14:textId="77777777" w:rsidR="00503D7E" w:rsidRPr="00B0415E" w:rsidRDefault="00503D7E" w:rsidP="00503D7E">
            <w:pPr>
              <w:rPr>
                <w:rFonts w:cs="Times New Roman"/>
                <w:szCs w:val="32"/>
              </w:rPr>
            </w:pPr>
          </w:p>
        </w:tc>
      </w:tr>
      <w:tr w:rsidR="00503D7E" w:rsidRPr="00B0415E" w14:paraId="590158BA" w14:textId="77777777" w:rsidTr="00B0415E">
        <w:tc>
          <w:tcPr>
            <w:tcW w:w="4621" w:type="dxa"/>
            <w:shd w:val="clear" w:color="auto" w:fill="D9D9D9" w:themeFill="background1" w:themeFillShade="D9"/>
          </w:tcPr>
          <w:p w14:paraId="5A753312" w14:textId="77777777" w:rsidR="00503D7E" w:rsidRPr="00B0415E" w:rsidRDefault="00503D7E" w:rsidP="00503D7E">
            <w:pPr>
              <w:rPr>
                <w:b/>
                <w:color w:val="002060"/>
              </w:rPr>
            </w:pPr>
            <w:r w:rsidRPr="00B0415E">
              <w:rPr>
                <w:b/>
                <w:color w:val="002060"/>
              </w:rPr>
              <w:t>Marks Obtained</w:t>
            </w:r>
          </w:p>
        </w:tc>
        <w:tc>
          <w:tcPr>
            <w:tcW w:w="4621" w:type="dxa"/>
          </w:tcPr>
          <w:p w14:paraId="5D3518B2" w14:textId="77777777" w:rsidR="00503D7E" w:rsidRPr="00B0415E" w:rsidRDefault="00503D7E" w:rsidP="00503D7E">
            <w:pPr>
              <w:rPr>
                <w:rFonts w:cs="Times New Roman"/>
                <w:szCs w:val="32"/>
              </w:rPr>
            </w:pPr>
          </w:p>
        </w:tc>
      </w:tr>
      <w:tr w:rsidR="00503D7E" w:rsidRPr="00B0415E" w14:paraId="1EB0E317" w14:textId="77777777" w:rsidTr="00B0415E">
        <w:tc>
          <w:tcPr>
            <w:tcW w:w="4621" w:type="dxa"/>
            <w:shd w:val="clear" w:color="auto" w:fill="D9D9D9" w:themeFill="background1" w:themeFillShade="D9"/>
          </w:tcPr>
          <w:p w14:paraId="23B5BF46" w14:textId="77777777" w:rsidR="00503D7E" w:rsidRPr="00B0415E" w:rsidRDefault="00B0415E" w:rsidP="00503D7E">
            <w:pPr>
              <w:rPr>
                <w:b/>
                <w:color w:val="002060"/>
              </w:rPr>
            </w:pPr>
            <w:r w:rsidRPr="00B0415E">
              <w:rPr>
                <w:b/>
                <w:color w:val="002060"/>
              </w:rPr>
              <w:t>Percentage / Grade</w:t>
            </w:r>
          </w:p>
        </w:tc>
        <w:tc>
          <w:tcPr>
            <w:tcW w:w="4621" w:type="dxa"/>
          </w:tcPr>
          <w:p w14:paraId="0E77A2E5" w14:textId="77777777" w:rsidR="00503D7E" w:rsidRPr="00B0415E" w:rsidRDefault="00503D7E" w:rsidP="00503D7E">
            <w:pPr>
              <w:rPr>
                <w:rFonts w:cs="Times New Roman"/>
                <w:szCs w:val="32"/>
              </w:rPr>
            </w:pPr>
          </w:p>
        </w:tc>
      </w:tr>
    </w:tbl>
    <w:p w14:paraId="0304B02B" w14:textId="77777777" w:rsidR="00A851DA" w:rsidRDefault="00A851DA" w:rsidP="00503D7E">
      <w:pPr>
        <w:rPr>
          <w:rFonts w:cs="Times New Roman"/>
          <w:sz w:val="24"/>
          <w:szCs w:val="32"/>
        </w:rPr>
      </w:pPr>
    </w:p>
    <w:p w14:paraId="65E707AF" w14:textId="77777777" w:rsidR="00607874" w:rsidRDefault="00607874" w:rsidP="00503D7E">
      <w:pPr>
        <w:rPr>
          <w:rFonts w:cs="Times New Roman"/>
          <w:sz w:val="24"/>
          <w:szCs w:val="32"/>
        </w:rPr>
      </w:pPr>
    </w:p>
    <w:p w14:paraId="6B1EA8E7" w14:textId="77777777" w:rsidR="00607874" w:rsidRDefault="00607874" w:rsidP="00503D7E">
      <w:pPr>
        <w:rPr>
          <w:rFonts w:cs="Times New Roman"/>
          <w:sz w:val="24"/>
          <w:szCs w:val="32"/>
        </w:rPr>
      </w:pPr>
    </w:p>
    <w:p w14:paraId="12429F15" w14:textId="77777777" w:rsidR="00607874" w:rsidRDefault="00607874" w:rsidP="00503D7E">
      <w:pPr>
        <w:rPr>
          <w:rFonts w:cs="Times New Roman"/>
          <w:sz w:val="24"/>
          <w:szCs w:val="32"/>
        </w:rPr>
      </w:pPr>
    </w:p>
    <w:p w14:paraId="20DD912B" w14:textId="77777777" w:rsidR="00607874" w:rsidRDefault="00607874" w:rsidP="00503D7E">
      <w:pPr>
        <w:rPr>
          <w:rFonts w:cs="Times New Roman"/>
          <w:sz w:val="24"/>
          <w:szCs w:val="32"/>
        </w:rPr>
      </w:pPr>
    </w:p>
    <w:p w14:paraId="6F16DC5C" w14:textId="77777777" w:rsidR="00607874" w:rsidRDefault="00607874" w:rsidP="00503D7E">
      <w:pPr>
        <w:rPr>
          <w:rFonts w:cs="Times New Roman"/>
          <w:sz w:val="24"/>
          <w:szCs w:val="32"/>
        </w:rPr>
      </w:pPr>
    </w:p>
    <w:p w14:paraId="5B10A909" w14:textId="77777777" w:rsidR="00607874" w:rsidRDefault="00607874" w:rsidP="00503D7E">
      <w:pPr>
        <w:rPr>
          <w:rFonts w:cs="Times New Roman"/>
          <w:sz w:val="24"/>
          <w:szCs w:val="32"/>
        </w:rPr>
      </w:pPr>
    </w:p>
    <w:p w14:paraId="2931A29A" w14:textId="77777777" w:rsidR="00607874" w:rsidRDefault="00607874" w:rsidP="00503D7E">
      <w:pPr>
        <w:rPr>
          <w:rFonts w:cs="Times New Roman"/>
          <w:sz w:val="24"/>
          <w:szCs w:val="32"/>
        </w:rPr>
      </w:pPr>
    </w:p>
    <w:p w14:paraId="7037A9BC" w14:textId="77777777" w:rsidR="00EA30AB" w:rsidRDefault="00EA30AB" w:rsidP="00503D7E">
      <w:pPr>
        <w:rPr>
          <w:rFonts w:cs="Times New Roman"/>
          <w:sz w:val="24"/>
          <w:szCs w:val="32"/>
        </w:rPr>
      </w:pPr>
    </w:p>
    <w:p w14:paraId="22778F8E" w14:textId="77777777" w:rsidR="00EA30AB" w:rsidRDefault="00EA30AB" w:rsidP="00503D7E">
      <w:pPr>
        <w:rPr>
          <w:rFonts w:cs="Times New Roman"/>
          <w:sz w:val="24"/>
          <w:szCs w:val="32"/>
        </w:rPr>
      </w:pPr>
    </w:p>
    <w:p w14:paraId="5FCAF09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3DF39" w14:textId="77777777" w:rsidR="00DB649A" w:rsidRDefault="00DB649A" w:rsidP="00CB4D0A">
      <w:pPr>
        <w:spacing w:after="0" w:line="240" w:lineRule="auto"/>
      </w:pPr>
      <w:r>
        <w:separator/>
      </w:r>
    </w:p>
  </w:endnote>
  <w:endnote w:type="continuationSeparator" w:id="0">
    <w:p w14:paraId="564A60F9" w14:textId="77777777" w:rsidR="00DB649A" w:rsidRDefault="00DB64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FC969" w14:textId="77777777" w:rsidR="00DB649A" w:rsidRDefault="00DB649A" w:rsidP="00CB4D0A">
      <w:pPr>
        <w:spacing w:after="0" w:line="240" w:lineRule="auto"/>
      </w:pPr>
      <w:r>
        <w:separator/>
      </w:r>
    </w:p>
  </w:footnote>
  <w:footnote w:type="continuationSeparator" w:id="0">
    <w:p w14:paraId="35E547F0" w14:textId="77777777" w:rsidR="00DB649A" w:rsidRDefault="00DB64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E1B17"/>
    <w:multiLevelType w:val="multilevel"/>
    <w:tmpl w:val="E3D87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E2124"/>
    <w:rsid w:val="001175EE"/>
    <w:rsid w:val="00157CF6"/>
    <w:rsid w:val="00182416"/>
    <w:rsid w:val="00187EB4"/>
    <w:rsid w:val="001F0481"/>
    <w:rsid w:val="00200C92"/>
    <w:rsid w:val="0020451E"/>
    <w:rsid w:val="00206B9D"/>
    <w:rsid w:val="00223557"/>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CB1"/>
    <w:rsid w:val="00535F31"/>
    <w:rsid w:val="00574D64"/>
    <w:rsid w:val="00591365"/>
    <w:rsid w:val="005A2CFB"/>
    <w:rsid w:val="005B31E4"/>
    <w:rsid w:val="006034F6"/>
    <w:rsid w:val="00607874"/>
    <w:rsid w:val="00607E77"/>
    <w:rsid w:val="00617BB3"/>
    <w:rsid w:val="00645CDD"/>
    <w:rsid w:val="006823A7"/>
    <w:rsid w:val="00687EE8"/>
    <w:rsid w:val="0070347F"/>
    <w:rsid w:val="0070678E"/>
    <w:rsid w:val="00831C11"/>
    <w:rsid w:val="00835DB9"/>
    <w:rsid w:val="00880390"/>
    <w:rsid w:val="00881CC7"/>
    <w:rsid w:val="008A60B4"/>
    <w:rsid w:val="008B3C31"/>
    <w:rsid w:val="008B64FE"/>
    <w:rsid w:val="00935BF7"/>
    <w:rsid w:val="0095442C"/>
    <w:rsid w:val="00983942"/>
    <w:rsid w:val="0099006B"/>
    <w:rsid w:val="009C37E0"/>
    <w:rsid w:val="009C530D"/>
    <w:rsid w:val="009E41F4"/>
    <w:rsid w:val="00A14B66"/>
    <w:rsid w:val="00A44D54"/>
    <w:rsid w:val="00A65CF7"/>
    <w:rsid w:val="00A81AB4"/>
    <w:rsid w:val="00A851DA"/>
    <w:rsid w:val="00AC7D5B"/>
    <w:rsid w:val="00AE1481"/>
    <w:rsid w:val="00AE62FD"/>
    <w:rsid w:val="00B0415E"/>
    <w:rsid w:val="00B04678"/>
    <w:rsid w:val="00BC46DF"/>
    <w:rsid w:val="00C03577"/>
    <w:rsid w:val="00C53029"/>
    <w:rsid w:val="00C626D0"/>
    <w:rsid w:val="00C65FEA"/>
    <w:rsid w:val="00CA0AC2"/>
    <w:rsid w:val="00CB4D0A"/>
    <w:rsid w:val="00CC2FB3"/>
    <w:rsid w:val="00CC575A"/>
    <w:rsid w:val="00CC67BE"/>
    <w:rsid w:val="00CF123B"/>
    <w:rsid w:val="00D039AC"/>
    <w:rsid w:val="00D3778A"/>
    <w:rsid w:val="00D427DE"/>
    <w:rsid w:val="00D5587D"/>
    <w:rsid w:val="00D707CC"/>
    <w:rsid w:val="00D821FE"/>
    <w:rsid w:val="00DB0793"/>
    <w:rsid w:val="00DB649A"/>
    <w:rsid w:val="00E00821"/>
    <w:rsid w:val="00E04DB4"/>
    <w:rsid w:val="00E30679"/>
    <w:rsid w:val="00E4597D"/>
    <w:rsid w:val="00E54832"/>
    <w:rsid w:val="00E56A90"/>
    <w:rsid w:val="00E641CC"/>
    <w:rsid w:val="00E73F90"/>
    <w:rsid w:val="00EA30AB"/>
    <w:rsid w:val="00EB3925"/>
    <w:rsid w:val="00EE6D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A83C0"/>
  <w15:docId w15:val="{02AC8A92-EDEA-4596-8454-C3D5383C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06B"/>
    <w:rPr>
      <w:color w:val="0000FF" w:themeColor="hyperlink"/>
      <w:u w:val="single"/>
    </w:rPr>
  </w:style>
  <w:style w:type="character" w:styleId="UnresolvedMention">
    <w:name w:val="Unresolved Mention"/>
    <w:basedOn w:val="DefaultParagraphFont"/>
    <w:uiPriority w:val="99"/>
    <w:semiHidden/>
    <w:unhideWhenUsed/>
    <w:rsid w:val="00990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96816">
      <w:bodyDiv w:val="1"/>
      <w:marLeft w:val="0"/>
      <w:marRight w:val="0"/>
      <w:marTop w:val="0"/>
      <w:marBottom w:val="0"/>
      <w:divBdr>
        <w:top w:val="none" w:sz="0" w:space="0" w:color="auto"/>
        <w:left w:val="none" w:sz="0" w:space="0" w:color="auto"/>
        <w:bottom w:val="none" w:sz="0" w:space="0" w:color="auto"/>
        <w:right w:val="none" w:sz="0" w:space="0" w:color="auto"/>
      </w:divBdr>
    </w:div>
    <w:div w:id="16686327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nman.com/erp-supplier-relationship-management" TargetMode="External"/><Relationship Id="rId5" Type="http://schemas.openxmlformats.org/officeDocument/2006/relationships/webSettings" Target="webSettings.xml"/><Relationship Id="rId10" Type="http://schemas.openxmlformats.org/officeDocument/2006/relationships/hyperlink" Target="http://www.winman.com/winman-erp-softwar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33D03-125C-4025-A6D8-10D9CDBCB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allison carter</cp:lastModifiedBy>
  <cp:revision>11</cp:revision>
  <dcterms:created xsi:type="dcterms:W3CDTF">2015-01-26T12:24:00Z</dcterms:created>
  <dcterms:modified xsi:type="dcterms:W3CDTF">2019-08-05T07:27:00Z</dcterms:modified>
</cp:coreProperties>
</file>