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A8A8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FBC71E" wp14:editId="53128FB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A25C61" w14:textId="77777777" w:rsidR="00607874" w:rsidRDefault="006335E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A20DDDE" wp14:editId="29EC347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5EAE5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53C52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20DDD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D5EAE5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53C52F" w14:textId="77777777" w:rsidR="00405895" w:rsidRDefault="00405895"/>
                  </w:txbxContent>
                </v:textbox>
              </v:shape>
            </w:pict>
          </mc:Fallback>
        </mc:AlternateContent>
      </w:r>
    </w:p>
    <w:p w14:paraId="03BEB335" w14:textId="77777777" w:rsidR="00607874" w:rsidRDefault="00607874" w:rsidP="00A851DA">
      <w:pPr>
        <w:rPr>
          <w:lang w:val="en-US"/>
        </w:rPr>
      </w:pPr>
    </w:p>
    <w:p w14:paraId="45EDB40C" w14:textId="77777777" w:rsidR="00607874" w:rsidRDefault="00607874" w:rsidP="00A851DA">
      <w:pPr>
        <w:rPr>
          <w:lang w:val="en-US"/>
        </w:rPr>
      </w:pPr>
    </w:p>
    <w:p w14:paraId="4B21084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41321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465B9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3374C3" w14:textId="5FD175D7" w:rsidR="00A851DA" w:rsidRPr="00B0415E" w:rsidRDefault="00581A6F">
            <w:pPr>
              <w:pStyle w:val="Default"/>
              <w:rPr>
                <w:rFonts w:asciiTheme="minorHAnsi" w:hAnsiTheme="minorHAnsi"/>
              </w:rPr>
            </w:pPr>
            <w:r>
              <w:rPr>
                <w:rFonts w:asciiTheme="minorHAnsi" w:hAnsiTheme="minorHAnsi"/>
              </w:rPr>
              <w:t>Antonia Skordi Echhideh</w:t>
            </w:r>
          </w:p>
        </w:tc>
      </w:tr>
      <w:tr w:rsidR="00A851DA" w:rsidRPr="00B0415E" w14:paraId="4AB9F3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247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B70EA7" w14:textId="77777777" w:rsidR="00A851DA" w:rsidRPr="00B0415E" w:rsidRDefault="00A851DA">
            <w:pPr>
              <w:pStyle w:val="Default"/>
              <w:rPr>
                <w:rFonts w:asciiTheme="minorHAnsi" w:hAnsiTheme="minorHAnsi"/>
              </w:rPr>
            </w:pPr>
          </w:p>
        </w:tc>
      </w:tr>
      <w:tr w:rsidR="00A851DA" w:rsidRPr="00B0415E" w14:paraId="486CD3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B4309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B8DFC1" w14:textId="43B0ED22" w:rsidR="00A851DA" w:rsidRPr="00B0415E" w:rsidRDefault="00581A6F">
            <w:pPr>
              <w:pStyle w:val="Default"/>
              <w:rPr>
                <w:rFonts w:asciiTheme="minorHAnsi" w:hAnsiTheme="minorHAnsi"/>
              </w:rPr>
            </w:pPr>
            <w:r>
              <w:rPr>
                <w:rFonts w:asciiTheme="minorHAnsi" w:hAnsiTheme="minorHAnsi"/>
              </w:rPr>
              <w:t xml:space="preserve">Forensic Accounting </w:t>
            </w:r>
          </w:p>
        </w:tc>
      </w:tr>
      <w:tr w:rsidR="00A851DA" w:rsidRPr="00B0415E" w14:paraId="123EB4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EFD89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552379" w14:textId="195D3CA5" w:rsidR="00A851DA" w:rsidRPr="00B0415E" w:rsidRDefault="00225048">
            <w:r>
              <w:t>2</w:t>
            </w:r>
          </w:p>
        </w:tc>
      </w:tr>
    </w:tbl>
    <w:p w14:paraId="0A91CB75" w14:textId="77777777" w:rsidR="00CC2FB3" w:rsidRDefault="00CC2FB3" w:rsidP="00A851DA">
      <w:pPr>
        <w:rPr>
          <w:b/>
          <w:lang w:val="en-US"/>
        </w:rPr>
      </w:pPr>
    </w:p>
    <w:p w14:paraId="1636FD15" w14:textId="77777777" w:rsidR="00443E6F" w:rsidRDefault="00527C11" w:rsidP="00A851DA">
      <w:pPr>
        <w:rPr>
          <w:b/>
          <w:sz w:val="28"/>
          <w:lang w:val="en-US"/>
        </w:rPr>
      </w:pPr>
      <w:r w:rsidRPr="00443E6F">
        <w:rPr>
          <w:b/>
          <w:sz w:val="28"/>
          <w:lang w:val="en-US"/>
        </w:rPr>
        <w:t>Marking Criteria:</w:t>
      </w:r>
    </w:p>
    <w:p w14:paraId="5697BD3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437FE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3FA807" w14:textId="77777777" w:rsidTr="00CC2FB3">
        <w:tc>
          <w:tcPr>
            <w:tcW w:w="9242" w:type="dxa"/>
          </w:tcPr>
          <w:p w14:paraId="368E002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0A9C0F4" w14:textId="77777777" w:rsidR="00CC2FB3" w:rsidRDefault="00CC2FB3" w:rsidP="00A851DA">
            <w:pPr>
              <w:rPr>
                <w:b/>
              </w:rPr>
            </w:pPr>
          </w:p>
          <w:p w14:paraId="0B5BF4C2" w14:textId="77777777" w:rsidR="00CC2FB3" w:rsidRDefault="00CC2FB3" w:rsidP="00A851DA">
            <w:pPr>
              <w:rPr>
                <w:b/>
              </w:rPr>
            </w:pPr>
          </w:p>
          <w:p w14:paraId="61C97F15" w14:textId="77777777" w:rsidR="00CC2FB3" w:rsidRDefault="00CC2FB3" w:rsidP="00A851DA">
            <w:pPr>
              <w:rPr>
                <w:b/>
              </w:rPr>
            </w:pPr>
          </w:p>
          <w:p w14:paraId="0A1D2E59" w14:textId="77777777" w:rsidR="00CC2FB3" w:rsidRDefault="00CC2FB3" w:rsidP="00A851DA">
            <w:pPr>
              <w:rPr>
                <w:b/>
              </w:rPr>
            </w:pPr>
          </w:p>
          <w:p w14:paraId="1C87C2BC" w14:textId="77777777" w:rsidR="00CC2FB3" w:rsidRDefault="00CC2FB3" w:rsidP="00A851DA">
            <w:pPr>
              <w:rPr>
                <w:b/>
              </w:rPr>
            </w:pPr>
          </w:p>
          <w:p w14:paraId="1F4654D4" w14:textId="77777777" w:rsidR="00CC2FB3" w:rsidRDefault="00CC2FB3" w:rsidP="00A851DA">
            <w:pPr>
              <w:rPr>
                <w:b/>
              </w:rPr>
            </w:pPr>
          </w:p>
          <w:p w14:paraId="68311B23" w14:textId="77777777" w:rsidR="00CC2FB3" w:rsidRDefault="00CC2FB3" w:rsidP="00A851DA">
            <w:pPr>
              <w:rPr>
                <w:b/>
              </w:rPr>
            </w:pPr>
          </w:p>
          <w:p w14:paraId="3EEAEA8D" w14:textId="77777777" w:rsidR="00CC2FB3" w:rsidRDefault="00CC2FB3" w:rsidP="00A851DA">
            <w:pPr>
              <w:rPr>
                <w:b/>
              </w:rPr>
            </w:pPr>
            <w:bookmarkStart w:id="0" w:name="_GoBack"/>
            <w:bookmarkEnd w:id="0"/>
          </w:p>
          <w:p w14:paraId="5534FF15" w14:textId="77777777" w:rsidR="00CC2FB3" w:rsidRDefault="00CC2FB3" w:rsidP="00A851DA">
            <w:pPr>
              <w:rPr>
                <w:b/>
              </w:rPr>
            </w:pPr>
          </w:p>
          <w:p w14:paraId="6D2ABCFD" w14:textId="77777777" w:rsidR="00CC2FB3" w:rsidRDefault="00CC2FB3" w:rsidP="00A851DA">
            <w:pPr>
              <w:rPr>
                <w:b/>
              </w:rPr>
            </w:pPr>
          </w:p>
          <w:p w14:paraId="1BA1397D" w14:textId="77777777" w:rsidR="00CC2FB3" w:rsidRDefault="00CC2FB3" w:rsidP="00A851DA">
            <w:pPr>
              <w:rPr>
                <w:b/>
              </w:rPr>
            </w:pPr>
          </w:p>
          <w:p w14:paraId="13272264" w14:textId="77777777" w:rsidR="00CC2FB3" w:rsidRDefault="00CC2FB3" w:rsidP="00A851DA">
            <w:pPr>
              <w:rPr>
                <w:b/>
              </w:rPr>
            </w:pPr>
          </w:p>
          <w:p w14:paraId="5F5F0FB9" w14:textId="77777777" w:rsidR="00CC2FB3" w:rsidRDefault="00CC2FB3" w:rsidP="00A851DA">
            <w:pPr>
              <w:rPr>
                <w:b/>
              </w:rPr>
            </w:pPr>
          </w:p>
          <w:p w14:paraId="5CEB0B4A" w14:textId="77777777" w:rsidR="00CC2FB3" w:rsidRDefault="00CC2FB3" w:rsidP="00A851DA">
            <w:pPr>
              <w:rPr>
                <w:b/>
              </w:rPr>
            </w:pPr>
          </w:p>
          <w:p w14:paraId="401D02FB" w14:textId="77777777" w:rsidR="00CC2FB3" w:rsidRDefault="00CC2FB3" w:rsidP="00A851DA">
            <w:pPr>
              <w:rPr>
                <w:b/>
              </w:rPr>
            </w:pPr>
          </w:p>
          <w:p w14:paraId="34081CA5" w14:textId="77777777" w:rsidR="00CC2FB3" w:rsidRDefault="00CC2FB3" w:rsidP="00A851DA">
            <w:pPr>
              <w:rPr>
                <w:b/>
              </w:rPr>
            </w:pPr>
          </w:p>
        </w:tc>
      </w:tr>
    </w:tbl>
    <w:p w14:paraId="431DF6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7FA99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F98EA3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85EA91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8967B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5BBBD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642902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7"/>
        <w:gridCol w:w="1253"/>
        <w:gridCol w:w="1571"/>
      </w:tblGrid>
      <w:tr w:rsidR="00405895" w:rsidRPr="00B0415E" w14:paraId="4C94B958" w14:textId="77777777" w:rsidTr="00405895">
        <w:tc>
          <w:tcPr>
            <w:tcW w:w="2310" w:type="dxa"/>
            <w:shd w:val="clear" w:color="auto" w:fill="D9D9D9" w:themeFill="background1" w:themeFillShade="D9"/>
          </w:tcPr>
          <w:p w14:paraId="72A03E7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8886A04" w14:textId="626494DC" w:rsidR="00405895" w:rsidRPr="00B0415E" w:rsidRDefault="00225048" w:rsidP="00A851DA">
            <w:pPr>
              <w:rPr>
                <w:rFonts w:cs="Bliss-Regular"/>
                <w:color w:val="000000"/>
              </w:rPr>
            </w:pPr>
            <w:r>
              <w:rPr>
                <w:rFonts w:cs="Bliss-Regular"/>
                <w:color w:val="000000"/>
              </w:rPr>
              <w:t>Antonia Skordi Echhideh</w:t>
            </w:r>
          </w:p>
        </w:tc>
        <w:tc>
          <w:tcPr>
            <w:tcW w:w="1276" w:type="dxa"/>
            <w:shd w:val="clear" w:color="auto" w:fill="D9D9D9" w:themeFill="background1" w:themeFillShade="D9"/>
          </w:tcPr>
          <w:p w14:paraId="7457E3C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C96E2E" w14:textId="77777777" w:rsidR="00405895" w:rsidRPr="00B0415E" w:rsidRDefault="00405895" w:rsidP="00A851DA">
            <w:pPr>
              <w:rPr>
                <w:rFonts w:cs="Bliss-Regular"/>
                <w:color w:val="000000"/>
              </w:rPr>
            </w:pPr>
          </w:p>
        </w:tc>
      </w:tr>
    </w:tbl>
    <w:p w14:paraId="00974EB2" w14:textId="77777777" w:rsidR="00A851DA" w:rsidRPr="00B0415E" w:rsidRDefault="00A851DA" w:rsidP="00A851DA">
      <w:pPr>
        <w:rPr>
          <w:rFonts w:cs="Bliss-Regular"/>
          <w:color w:val="000000"/>
          <w:lang w:val="en-US"/>
        </w:rPr>
      </w:pPr>
    </w:p>
    <w:p w14:paraId="47B2C174" w14:textId="77777777" w:rsidR="00A851DA" w:rsidRPr="00B0415E" w:rsidRDefault="00A851DA" w:rsidP="00A851DA">
      <w:pPr>
        <w:rPr>
          <w:rFonts w:cs="Bliss-Regular"/>
          <w:color w:val="000000"/>
          <w:lang w:val="en-US"/>
        </w:rPr>
      </w:pPr>
    </w:p>
    <w:p w14:paraId="2FB4613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7F7D015" w14:textId="77777777" w:rsidTr="00B0415E">
        <w:trPr>
          <w:trHeight w:val="249"/>
        </w:trPr>
        <w:tc>
          <w:tcPr>
            <w:tcW w:w="4621" w:type="dxa"/>
            <w:shd w:val="clear" w:color="auto" w:fill="D9D9D9" w:themeFill="background1" w:themeFillShade="D9"/>
          </w:tcPr>
          <w:p w14:paraId="3602A418" w14:textId="77777777" w:rsidR="00503D7E" w:rsidRPr="00B0415E" w:rsidRDefault="00503D7E" w:rsidP="00503D7E">
            <w:pPr>
              <w:rPr>
                <w:b/>
                <w:color w:val="002060"/>
              </w:rPr>
            </w:pPr>
            <w:r w:rsidRPr="00B0415E">
              <w:rPr>
                <w:b/>
                <w:color w:val="002060"/>
              </w:rPr>
              <w:lastRenderedPageBreak/>
              <w:t>Total Marks</w:t>
            </w:r>
          </w:p>
        </w:tc>
        <w:tc>
          <w:tcPr>
            <w:tcW w:w="4621" w:type="dxa"/>
          </w:tcPr>
          <w:p w14:paraId="1E5E0523" w14:textId="77777777" w:rsidR="00503D7E" w:rsidRPr="00B0415E" w:rsidRDefault="00503D7E" w:rsidP="00503D7E">
            <w:pPr>
              <w:rPr>
                <w:rFonts w:cs="Times New Roman"/>
                <w:szCs w:val="32"/>
              </w:rPr>
            </w:pPr>
          </w:p>
        </w:tc>
      </w:tr>
      <w:tr w:rsidR="00503D7E" w:rsidRPr="00B0415E" w14:paraId="432B366F" w14:textId="77777777" w:rsidTr="00B0415E">
        <w:tc>
          <w:tcPr>
            <w:tcW w:w="4621" w:type="dxa"/>
            <w:shd w:val="clear" w:color="auto" w:fill="D9D9D9" w:themeFill="background1" w:themeFillShade="D9"/>
          </w:tcPr>
          <w:p w14:paraId="18F66A3B" w14:textId="77777777" w:rsidR="00503D7E" w:rsidRPr="00B0415E" w:rsidRDefault="00503D7E" w:rsidP="00503D7E">
            <w:pPr>
              <w:rPr>
                <w:b/>
                <w:color w:val="002060"/>
              </w:rPr>
            </w:pPr>
            <w:r w:rsidRPr="00B0415E">
              <w:rPr>
                <w:b/>
                <w:color w:val="002060"/>
              </w:rPr>
              <w:t>Marks Obtained</w:t>
            </w:r>
          </w:p>
        </w:tc>
        <w:tc>
          <w:tcPr>
            <w:tcW w:w="4621" w:type="dxa"/>
          </w:tcPr>
          <w:p w14:paraId="4056208A" w14:textId="77777777" w:rsidR="00503D7E" w:rsidRPr="00B0415E" w:rsidRDefault="00503D7E" w:rsidP="00503D7E">
            <w:pPr>
              <w:rPr>
                <w:rFonts w:cs="Times New Roman"/>
                <w:szCs w:val="32"/>
              </w:rPr>
            </w:pPr>
          </w:p>
        </w:tc>
      </w:tr>
      <w:tr w:rsidR="00503D7E" w:rsidRPr="00B0415E" w14:paraId="780302BE" w14:textId="77777777" w:rsidTr="00B0415E">
        <w:tc>
          <w:tcPr>
            <w:tcW w:w="4621" w:type="dxa"/>
            <w:shd w:val="clear" w:color="auto" w:fill="D9D9D9" w:themeFill="background1" w:themeFillShade="D9"/>
          </w:tcPr>
          <w:p w14:paraId="6BD4142B" w14:textId="77777777" w:rsidR="00503D7E" w:rsidRPr="00B0415E" w:rsidRDefault="00B0415E" w:rsidP="00503D7E">
            <w:pPr>
              <w:rPr>
                <w:b/>
                <w:color w:val="002060"/>
              </w:rPr>
            </w:pPr>
            <w:r w:rsidRPr="00B0415E">
              <w:rPr>
                <w:b/>
                <w:color w:val="002060"/>
              </w:rPr>
              <w:t>Percentage / Grade</w:t>
            </w:r>
          </w:p>
        </w:tc>
        <w:tc>
          <w:tcPr>
            <w:tcW w:w="4621" w:type="dxa"/>
          </w:tcPr>
          <w:p w14:paraId="42169947" w14:textId="77777777" w:rsidR="00503D7E" w:rsidRPr="00B0415E" w:rsidRDefault="00503D7E" w:rsidP="00503D7E">
            <w:pPr>
              <w:rPr>
                <w:rFonts w:cs="Times New Roman"/>
                <w:szCs w:val="32"/>
              </w:rPr>
            </w:pPr>
          </w:p>
        </w:tc>
      </w:tr>
    </w:tbl>
    <w:p w14:paraId="268D3DF1" w14:textId="77777777" w:rsidR="00A851DA" w:rsidRDefault="00A851DA" w:rsidP="00503D7E">
      <w:pPr>
        <w:rPr>
          <w:rFonts w:cs="Times New Roman"/>
          <w:sz w:val="24"/>
          <w:szCs w:val="32"/>
        </w:rPr>
      </w:pPr>
    </w:p>
    <w:p w14:paraId="138E1767" w14:textId="77777777" w:rsidR="00607874" w:rsidRDefault="00607874" w:rsidP="00503D7E">
      <w:pPr>
        <w:rPr>
          <w:rFonts w:cs="Times New Roman"/>
          <w:sz w:val="24"/>
          <w:szCs w:val="32"/>
        </w:rPr>
      </w:pPr>
    </w:p>
    <w:p w14:paraId="4D247D85" w14:textId="77777777" w:rsidR="00607874" w:rsidRDefault="00607874" w:rsidP="00503D7E">
      <w:pPr>
        <w:rPr>
          <w:rFonts w:cs="Times New Roman"/>
          <w:sz w:val="24"/>
          <w:szCs w:val="32"/>
        </w:rPr>
      </w:pPr>
    </w:p>
    <w:p w14:paraId="0BF02C83" w14:textId="77777777" w:rsidR="00607874" w:rsidRDefault="00607874" w:rsidP="00503D7E">
      <w:pPr>
        <w:rPr>
          <w:rFonts w:cs="Times New Roman"/>
          <w:sz w:val="24"/>
          <w:szCs w:val="32"/>
        </w:rPr>
      </w:pPr>
    </w:p>
    <w:p w14:paraId="17E86539" w14:textId="77777777" w:rsidR="00607874" w:rsidRDefault="00607874" w:rsidP="00503D7E">
      <w:pPr>
        <w:rPr>
          <w:rFonts w:cs="Times New Roman"/>
          <w:sz w:val="24"/>
          <w:szCs w:val="32"/>
        </w:rPr>
      </w:pPr>
    </w:p>
    <w:p w14:paraId="4980080F" w14:textId="77777777" w:rsidR="00607874" w:rsidRDefault="00607874" w:rsidP="00503D7E">
      <w:pPr>
        <w:rPr>
          <w:rFonts w:cs="Times New Roman"/>
          <w:sz w:val="24"/>
          <w:szCs w:val="32"/>
        </w:rPr>
      </w:pPr>
    </w:p>
    <w:p w14:paraId="4FC204CF" w14:textId="77777777" w:rsidR="00607874" w:rsidRDefault="00607874" w:rsidP="00503D7E">
      <w:pPr>
        <w:rPr>
          <w:rFonts w:cs="Times New Roman"/>
          <w:sz w:val="24"/>
          <w:szCs w:val="32"/>
        </w:rPr>
      </w:pPr>
    </w:p>
    <w:p w14:paraId="613F5F7A" w14:textId="77777777" w:rsidR="00607874" w:rsidRDefault="00607874" w:rsidP="00503D7E">
      <w:pPr>
        <w:rPr>
          <w:rFonts w:cs="Times New Roman"/>
          <w:sz w:val="24"/>
          <w:szCs w:val="32"/>
        </w:rPr>
      </w:pPr>
    </w:p>
    <w:p w14:paraId="573EA2D6" w14:textId="77777777" w:rsidR="00EA30AB" w:rsidRDefault="00EA30AB" w:rsidP="00503D7E">
      <w:pPr>
        <w:rPr>
          <w:rFonts w:cs="Times New Roman"/>
          <w:sz w:val="24"/>
          <w:szCs w:val="32"/>
        </w:rPr>
      </w:pPr>
    </w:p>
    <w:p w14:paraId="18F9CB94" w14:textId="77777777" w:rsidR="00EA30AB" w:rsidRDefault="00EA30AB" w:rsidP="00503D7E">
      <w:pPr>
        <w:rPr>
          <w:rFonts w:cs="Times New Roman"/>
          <w:sz w:val="24"/>
          <w:szCs w:val="32"/>
        </w:rPr>
      </w:pPr>
    </w:p>
    <w:p w14:paraId="4203AC74" w14:textId="31BB1234" w:rsidR="00225048" w:rsidRDefault="00225048">
      <w:pPr>
        <w:rPr>
          <w:rFonts w:cs="Times New Roman"/>
          <w:sz w:val="24"/>
          <w:szCs w:val="32"/>
        </w:rPr>
      </w:pPr>
      <w:r>
        <w:rPr>
          <w:rFonts w:cs="Times New Roman"/>
          <w:sz w:val="24"/>
          <w:szCs w:val="32"/>
        </w:rPr>
        <w:br w:type="page"/>
      </w:r>
    </w:p>
    <w:p w14:paraId="16A77F11" w14:textId="77777777" w:rsidR="00225048" w:rsidRDefault="00225048" w:rsidP="00225048">
      <w:pPr>
        <w:jc w:val="both"/>
      </w:pPr>
      <w:r>
        <w:lastRenderedPageBreak/>
        <w:t>Assignment 2</w:t>
      </w:r>
    </w:p>
    <w:p w14:paraId="32C27589" w14:textId="77777777" w:rsidR="00225048" w:rsidRDefault="00225048" w:rsidP="00225048">
      <w:pPr>
        <w:ind w:firstLine="720"/>
        <w:jc w:val="both"/>
      </w:pPr>
      <w:r>
        <w:t xml:space="preserve">Crime according to sociological studies is a major part of every society </w:t>
      </w:r>
      <w:sdt>
        <w:sdtPr>
          <w:id w:val="-1993855517"/>
          <w:citation/>
        </w:sdtPr>
        <w:sdtContent>
          <w:r>
            <w:fldChar w:fldCharType="begin"/>
          </w:r>
          <w:r>
            <w:instrText xml:space="preserve"> CITATION Det10 \l 1033 </w:instrText>
          </w:r>
          <w:r>
            <w:fldChar w:fldCharType="separate"/>
          </w:r>
          <w:r>
            <w:rPr>
              <w:noProof/>
            </w:rPr>
            <w:t>(Detotto &amp; Otranto, 2010)</w:t>
          </w:r>
          <w:r>
            <w:fldChar w:fldCharType="end"/>
          </w:r>
        </w:sdtContent>
      </w:sdt>
      <w:r>
        <w:t xml:space="preserve">. Criminal activity is </w:t>
      </w:r>
      <w:r>
        <w:rPr>
          <w:noProof/>
        </w:rPr>
        <w:t xml:space="preserve">common </w:t>
      </w:r>
      <w:r>
        <w:t xml:space="preserve">in every society. Crime has adverse effects on the </w:t>
      </w:r>
      <w:r>
        <w:rPr>
          <w:noProof/>
        </w:rPr>
        <w:t>operations</w:t>
      </w:r>
      <w:r>
        <w:t xml:space="preserve"> of the society. Proceeds of crime influence the economy because they are a form of tax on the economy of an entire country. One of the ways crime influences the economy is that it prevents foreign and domestic investments</w:t>
      </w:r>
      <w:r>
        <w:rPr>
          <w:noProof/>
        </w:rPr>
        <w:t>. Furthermore</w:t>
      </w:r>
      <w:r>
        <w:t xml:space="preserve">, it creates uncertainty that prevents firms’ and companies’ competitiveness. Studies have shown that crime costs the economy in many ways </w:t>
      </w:r>
      <w:sdt>
        <w:sdtPr>
          <w:id w:val="529921693"/>
          <w:citation/>
        </w:sdtPr>
        <w:sdtContent>
          <w:r>
            <w:fldChar w:fldCharType="begin"/>
          </w:r>
          <w:r>
            <w:instrText xml:space="preserve">CITATION Rio16 \l 1033 </w:instrText>
          </w:r>
          <w:r>
            <w:fldChar w:fldCharType="separate"/>
          </w:r>
          <w:r>
            <w:rPr>
              <w:noProof/>
            </w:rPr>
            <w:t>(Rios, 2016)</w:t>
          </w:r>
          <w:r>
            <w:fldChar w:fldCharType="end"/>
          </w:r>
        </w:sdtContent>
      </w:sdt>
      <w:r>
        <w:t xml:space="preserve">.  One of the ways that crime costs the economy and taxpayers is that it leads to the loss of life which is a blow to a country’s human resource. Furthermore, taxpayers’ money is diverted to fund prison, courts and police departments plus other stakeholders who are involved in fighting and preventing crime. </w:t>
      </w:r>
    </w:p>
    <w:p w14:paraId="6923D1BF" w14:textId="77777777" w:rsidR="00225048" w:rsidRDefault="00225048" w:rsidP="00225048">
      <w:pPr>
        <w:ind w:firstLine="720"/>
        <w:jc w:val="both"/>
      </w:pPr>
      <w:r>
        <w:t xml:space="preserve">Arson is the process of burning another person’s property intentionally. Arson is a criminal act of burning people’s homes or property of purpose. In most cases, the legal definition of arson is expanded to include </w:t>
      </w:r>
      <w:r>
        <w:rPr>
          <w:noProof/>
        </w:rPr>
        <w:t>own</w:t>
      </w:r>
      <w:r>
        <w:t xml:space="preserve"> property for improper gains. For instance, </w:t>
      </w:r>
      <w:r>
        <w:rPr>
          <w:noProof/>
        </w:rPr>
        <w:t>there are individuals who burn</w:t>
      </w:r>
      <w:r>
        <w:t xml:space="preserve"> their property to claim false insurance claims. Many states use different factors to determine the penalty for arson as if the property </w:t>
      </w:r>
      <w:r>
        <w:rPr>
          <w:noProof/>
        </w:rPr>
        <w:t>was occupied</w:t>
      </w:r>
      <w:r>
        <w:t xml:space="preserve"> and insurance fraud was intended. </w:t>
      </w:r>
    </w:p>
    <w:p w14:paraId="1E328972" w14:textId="77777777" w:rsidR="00225048" w:rsidRDefault="00225048" w:rsidP="00225048">
      <w:pPr>
        <w:ind w:firstLine="720"/>
        <w:jc w:val="both"/>
      </w:pPr>
      <w:r>
        <w:t xml:space="preserve">Money laundering is the process of making money obtained through proceeds of crime such as drug trafficking or corruption appear as if they are from a legitimate source. The concept behind money laundering is that money from criminal money </w:t>
      </w:r>
      <w:proofErr w:type="gramStart"/>
      <w:r>
        <w:t>is considered to be</w:t>
      </w:r>
      <w:proofErr w:type="gramEnd"/>
      <w:r>
        <w:t xml:space="preserve"> dirty. Therefore, money launders create mechanisms that make it look clean or from a legitimate source. </w:t>
      </w:r>
      <w:r>
        <w:rPr>
          <w:noProof/>
        </w:rPr>
        <w:t>There are different activities that encompass</w:t>
      </w:r>
      <w:r>
        <w:t xml:space="preserve"> money laundering which include smurfing and casino laundering. Smurfing is the act of making small deposits of money into multiple accounts </w:t>
      </w:r>
      <w:r>
        <w:rPr>
          <w:noProof/>
        </w:rPr>
        <w:t>overtime</w:t>
      </w:r>
      <w:r>
        <w:t xml:space="preserve">. Casino laundering is the process of going to the Casino with </w:t>
      </w:r>
      <w:r>
        <w:rPr>
          <w:noProof/>
        </w:rPr>
        <w:t>illegally</w:t>
      </w:r>
      <w:r>
        <w:t xml:space="preserve"> obtained money, buying chips, playing for a while and </w:t>
      </w:r>
      <w:proofErr w:type="spellStart"/>
      <w:r>
        <w:t>them</w:t>
      </w:r>
      <w:proofErr w:type="spellEnd"/>
      <w:r>
        <w:t xml:space="preserve"> cashing out the chips </w:t>
      </w:r>
      <w:sdt>
        <w:sdtPr>
          <w:id w:val="-69434158"/>
          <w:citation/>
        </w:sdtPr>
        <w:sdtContent>
          <w:r>
            <w:fldChar w:fldCharType="begin"/>
          </w:r>
          <w:r>
            <w:instrText xml:space="preserve">CITATION Cas17 \l 1033 </w:instrText>
          </w:r>
          <w:r>
            <w:fldChar w:fldCharType="separate"/>
          </w:r>
          <w:r>
            <w:rPr>
              <w:noProof/>
            </w:rPr>
            <w:t>(Lam &amp; Greenles, 2017)</w:t>
          </w:r>
          <w:r>
            <w:fldChar w:fldCharType="end"/>
          </w:r>
        </w:sdtContent>
      </w:sdt>
      <w:r>
        <w:t>. An individual then claims that they obtained the money from gambling winnings.</w:t>
      </w:r>
    </w:p>
    <w:p w14:paraId="13CF93F6" w14:textId="77777777" w:rsidR="00225048" w:rsidRDefault="00225048" w:rsidP="00225048">
      <w:pPr>
        <w:jc w:val="both"/>
        <w:rPr>
          <w:b/>
        </w:rPr>
      </w:pPr>
      <w:r>
        <w:rPr>
          <w:b/>
        </w:rPr>
        <w:t>Embezzlement</w:t>
      </w:r>
    </w:p>
    <w:p w14:paraId="1D6C0B07" w14:textId="77777777" w:rsidR="00225048" w:rsidRDefault="00225048" w:rsidP="00225048">
      <w:pPr>
        <w:ind w:firstLine="720"/>
        <w:jc w:val="both"/>
      </w:pPr>
      <w:r>
        <w:t xml:space="preserve">Embezzlement is a white-collar crime whereby an </w:t>
      </w:r>
      <w:r>
        <w:rPr>
          <w:noProof/>
        </w:rPr>
        <w:t>individuals</w:t>
      </w:r>
      <w:r>
        <w:t xml:space="preserve"> or an entity possesses or misappropriates funds that </w:t>
      </w:r>
      <w:r>
        <w:rPr>
          <w:noProof/>
        </w:rPr>
        <w:t>are entrusted</w:t>
      </w:r>
      <w:r>
        <w:t xml:space="preserve"> to them. In this case, embezzlement is an economic fraud where an individual uses funds and assets for unintended purposes </w:t>
      </w:r>
      <w:sdt>
        <w:sdtPr>
          <w:id w:val="1113707964"/>
          <w:citation/>
        </w:sdtPr>
        <w:sdtContent>
          <w:r>
            <w:fldChar w:fldCharType="begin"/>
          </w:r>
          <w:r>
            <w:instrText xml:space="preserve"> CITATION Won05 \l 1033 </w:instrText>
          </w:r>
          <w:r>
            <w:fldChar w:fldCharType="separate"/>
          </w:r>
          <w:r>
            <w:rPr>
              <w:noProof/>
            </w:rPr>
            <w:t>(Wong, 2005)</w:t>
          </w:r>
          <w:r>
            <w:fldChar w:fldCharType="end"/>
          </w:r>
        </w:sdtContent>
      </w:sdt>
      <w:r>
        <w:t xml:space="preserve">.  The embezzlers go against fiduciary responsibilities placed upon them. Various studies have indicated that embezzlement is a serious economic crime that involves </w:t>
      </w:r>
      <w:r>
        <w:rPr>
          <w:noProof/>
        </w:rPr>
        <w:t>illegal</w:t>
      </w:r>
      <w:r>
        <w:t xml:space="preserve"> conversion of property or funds belonging to another person to personal use or benefit. In this case, embezzlement involves an individual who is entrusted to safeguard a property misappropriating a small </w:t>
      </w:r>
      <w:r>
        <w:rPr>
          <w:noProof/>
        </w:rPr>
        <w:t>portion</w:t>
      </w:r>
      <w:r>
        <w:t xml:space="preserve"> or the entire property for their </w:t>
      </w:r>
      <w:r>
        <w:rPr>
          <w:noProof/>
        </w:rPr>
        <w:t>personal</w:t>
      </w:r>
      <w:r>
        <w:t xml:space="preserve"> gain. The studies have indicated that embezzlement is a usually a well-orchestrated crime that is performed systematically with high levels of precautions to ensure that the illegal conversion </w:t>
      </w:r>
      <w:r>
        <w:rPr>
          <w:noProof/>
        </w:rPr>
        <w:t>are done</w:t>
      </w:r>
      <w:r>
        <w:t xml:space="preserve"> with the discovery of the owner or other entities. Such precautions include manufacturing receipts and bulls for transactions that never took place to disguise embezzlement activities as legitimate businesses. </w:t>
      </w:r>
      <w:r>
        <w:rPr>
          <w:noProof/>
        </w:rPr>
        <w:t>In</w:t>
      </w:r>
      <w:r>
        <w:t xml:space="preserve"> most cases, embezzlers misallocate small portions of the property to minimize </w:t>
      </w:r>
      <w:r>
        <w:rPr>
          <w:noProof/>
        </w:rPr>
        <w:t>chances</w:t>
      </w:r>
      <w:r>
        <w:t xml:space="preserve"> of detection by the owner </w:t>
      </w:r>
      <w:sdt>
        <w:sdtPr>
          <w:id w:val="-1881158370"/>
          <w:citation/>
        </w:sdtPr>
        <w:sdtContent>
          <w:r>
            <w:fldChar w:fldCharType="begin"/>
          </w:r>
          <w:r>
            <w:instrText xml:space="preserve"> CITATION Mai161 \l 1033 </w:instrText>
          </w:r>
          <w:r>
            <w:fldChar w:fldCharType="separate"/>
          </w:r>
          <w:r>
            <w:rPr>
              <w:noProof/>
            </w:rPr>
            <w:t>(Mailashvili, 2016)</w:t>
          </w:r>
          <w:r>
            <w:fldChar w:fldCharType="end"/>
          </w:r>
        </w:sdtContent>
      </w:sdt>
      <w:r>
        <w:t>.</w:t>
      </w:r>
    </w:p>
    <w:p w14:paraId="54EFCA08" w14:textId="77777777" w:rsidR="00225048" w:rsidRDefault="00225048" w:rsidP="00225048">
      <w:pPr>
        <w:ind w:firstLine="720"/>
        <w:jc w:val="both"/>
      </w:pPr>
      <w:r>
        <w:t xml:space="preserve">Embezzlement is a financial or economic crime </w:t>
      </w:r>
      <w:r>
        <w:rPr>
          <w:noProof/>
        </w:rPr>
        <w:t>because its</w:t>
      </w:r>
      <w:r>
        <w:t xml:space="preserve"> illegal to access resources and funds without the </w:t>
      </w:r>
      <w:r>
        <w:rPr>
          <w:noProof/>
        </w:rPr>
        <w:t>consent</w:t>
      </w:r>
      <w:r>
        <w:t xml:space="preserve"> of the owner and convert them to personal use. Different states have different laws regarding the problem of embezzlement. Ideally, states factors that are used to prove embezzlement. However, the following elements must be present.  One, for embezzlement to be proven, there must be a </w:t>
      </w:r>
      <w:r>
        <w:rPr>
          <w:noProof/>
        </w:rPr>
        <w:t>fiduciary</w:t>
      </w:r>
      <w:r>
        <w:t xml:space="preserve"> relationship between the embezzler and the owner. Second, the </w:t>
      </w:r>
      <w:r>
        <w:lastRenderedPageBreak/>
        <w:t>embezzler must have taken full or partial ownership of the resources or transferred them to someone else. Thirds, the embezzler must have taken ownership of the property through the relationship with the owner and not through any other means. Lastly, the action of the embezzler must be intentional</w:t>
      </w:r>
      <w:r>
        <w:rPr>
          <w:noProof/>
        </w:rPr>
        <w:t>. Furthermore</w:t>
      </w:r>
      <w:r>
        <w:t xml:space="preserve">, the </w:t>
      </w:r>
      <w:r>
        <w:rPr>
          <w:noProof/>
        </w:rPr>
        <w:t>severity</w:t>
      </w:r>
      <w:r>
        <w:t xml:space="preserve"> of charges differs from one state to the other. However, in most case, the severity depends on the amount or the values of the property that </w:t>
      </w:r>
      <w:r>
        <w:rPr>
          <w:noProof/>
        </w:rPr>
        <w:t>was embezzled</w:t>
      </w:r>
      <w:r>
        <w:t>. Also, repeat offenses are likely to attract enhanced penalties.</w:t>
      </w:r>
    </w:p>
    <w:p w14:paraId="0E26817B" w14:textId="77777777" w:rsidR="00225048" w:rsidRDefault="00225048" w:rsidP="00225048">
      <w:pPr>
        <w:jc w:val="both"/>
        <w:rPr>
          <w:b/>
        </w:rPr>
      </w:pPr>
      <w:r>
        <w:rPr>
          <w:b/>
        </w:rPr>
        <w:t>Forgery and Uttering</w:t>
      </w:r>
    </w:p>
    <w:p w14:paraId="764206B9" w14:textId="77777777" w:rsidR="00225048" w:rsidRDefault="00225048" w:rsidP="00225048">
      <w:pPr>
        <w:ind w:firstLine="720"/>
        <w:jc w:val="both"/>
      </w:pPr>
      <w:r>
        <w:t xml:space="preserve">Forgery entails false signatures, documents and other forms of imitations that are intended to deceive another party. Individuals who fake or imitate documents or signatures with the intention of deceiving </w:t>
      </w:r>
      <w:r>
        <w:rPr>
          <w:noProof/>
        </w:rPr>
        <w:t>others</w:t>
      </w:r>
      <w:r>
        <w:t xml:space="preserve"> </w:t>
      </w:r>
      <w:r>
        <w:rPr>
          <w:noProof/>
        </w:rPr>
        <w:t>are charged</w:t>
      </w:r>
      <w:r>
        <w:t xml:space="preserve"> with fraud </w:t>
      </w:r>
      <w:sdt>
        <w:sdtPr>
          <w:id w:val="1861463577"/>
          <w:citation/>
        </w:sdtPr>
        <w:sdtContent>
          <w:r>
            <w:fldChar w:fldCharType="begin"/>
          </w:r>
          <w:r>
            <w:instrText xml:space="preserve"> CITATION Ozi18 \l 1033 </w:instrText>
          </w:r>
          <w:r>
            <w:fldChar w:fldCharType="separate"/>
          </w:r>
          <w:r>
            <w:rPr>
              <w:noProof/>
            </w:rPr>
            <w:t>(Ozili, 2018)</w:t>
          </w:r>
          <w:r>
            <w:fldChar w:fldCharType="end"/>
          </w:r>
        </w:sdtContent>
      </w:sdt>
      <w:r>
        <w:t xml:space="preserve">.  Various studies have revealed that </w:t>
      </w:r>
      <w:r>
        <w:rPr>
          <w:noProof/>
        </w:rPr>
        <w:t>there are many documents that are</w:t>
      </w:r>
      <w:r>
        <w:t xml:space="preserve"> prone to forgery which include identification cards, certificates or contracts. Individuals forge information in these documents such as signatures with the intention to commit fraud or deceive other parties. Legal frameworks that deal with forgery require it to be dome with the sole intention to commit fraud. Therefore, in most </w:t>
      </w:r>
      <w:proofErr w:type="gramStart"/>
      <w:r>
        <w:t>states</w:t>
      </w:r>
      <w:proofErr w:type="gramEnd"/>
      <w:r>
        <w:t xml:space="preserve"> forgery is not charged unless there is sufficient evidence to show that forgery was with the intention to deceive another party or to commit fraud. </w:t>
      </w:r>
    </w:p>
    <w:p w14:paraId="5E08EC81" w14:textId="77777777" w:rsidR="00225048" w:rsidRDefault="00225048" w:rsidP="00225048">
      <w:pPr>
        <w:ind w:firstLine="720"/>
        <w:jc w:val="both"/>
      </w:pPr>
      <w:r>
        <w:t xml:space="preserve">Uttering </w:t>
      </w:r>
      <w:r>
        <w:rPr>
          <w:noProof/>
        </w:rPr>
        <w:t>on the other hand</w:t>
      </w:r>
      <w:r>
        <w:t xml:space="preserve"> is a crime that involves using a forged document to deceive another party. For instance, passing a forged check with the intention of deceiving another person or entity is uttering. Uttering and forgery are closely related and in most cases are charges in the same indictment. Although the two crimes </w:t>
      </w:r>
      <w:r>
        <w:rPr>
          <w:noProof/>
        </w:rPr>
        <w:t>are charged</w:t>
      </w:r>
      <w:r>
        <w:t xml:space="preserve"> in the </w:t>
      </w:r>
      <w:r>
        <w:rPr>
          <w:noProof/>
        </w:rPr>
        <w:t>complaint</w:t>
      </w:r>
      <w:r>
        <w:t xml:space="preserve"> they are distinctive </w:t>
      </w:r>
      <w:r>
        <w:rPr>
          <w:noProof/>
        </w:rPr>
        <w:t>in nature</w:t>
      </w:r>
      <w:r>
        <w:t xml:space="preserve">. Forgery is the fabrication of a document with an intention to defraud or deceive someone while uttering is the passing forged document that has already </w:t>
      </w:r>
      <w:r>
        <w:rPr>
          <w:noProof/>
        </w:rPr>
        <w:t>been made</w:t>
      </w:r>
      <w:r>
        <w:t xml:space="preserve"> to someone with the intent to defraud.  The distinction between the two crimes lies </w:t>
      </w:r>
      <w:r>
        <w:rPr>
          <w:noProof/>
        </w:rPr>
        <w:t>in the words</w:t>
      </w:r>
      <w:r>
        <w:t xml:space="preserve"> forge and utter. In this </w:t>
      </w:r>
      <w:r>
        <w:rPr>
          <w:noProof/>
        </w:rPr>
        <w:t>case,</w:t>
      </w:r>
      <w:r>
        <w:t xml:space="preserve"> to forge is to fabricate an illegal copy of something while means to present something. In other words, forging requires someone to create something while uttering does not require someone to create something at all. Ideally, uttering is the act of asserting by word that invalid or forged document is valid. In short, when someone makes an illegal or invalid copy of a document the process of forgery </w:t>
      </w:r>
      <w:r>
        <w:rPr>
          <w:noProof/>
        </w:rPr>
        <w:t>is completed</w:t>
      </w:r>
      <w:r>
        <w:t xml:space="preserve">. Even if one does not produce the </w:t>
      </w:r>
      <w:r>
        <w:rPr>
          <w:noProof/>
        </w:rPr>
        <w:t>document,</w:t>
      </w:r>
      <w:r>
        <w:t xml:space="preserve"> if it </w:t>
      </w:r>
      <w:r>
        <w:rPr>
          <w:noProof/>
        </w:rPr>
        <w:t>is discovered</w:t>
      </w:r>
      <w:r>
        <w:t xml:space="preserve"> he or she can </w:t>
      </w:r>
      <w:r>
        <w:rPr>
          <w:noProof/>
        </w:rPr>
        <w:t>be charged</w:t>
      </w:r>
      <w:r>
        <w:t xml:space="preserve"> with an intention to defraud. However, if one uses the document to deceive </w:t>
      </w:r>
      <w:r>
        <w:rPr>
          <w:noProof/>
        </w:rPr>
        <w:t>someone</w:t>
      </w:r>
      <w:r>
        <w:t xml:space="preserve"> he or she can be charged with uttering. </w:t>
      </w:r>
    </w:p>
    <w:p w14:paraId="1765F01A" w14:textId="77777777" w:rsidR="00225048" w:rsidRDefault="00225048" w:rsidP="00225048">
      <w:pPr>
        <w:jc w:val="both"/>
        <w:rPr>
          <w:b/>
        </w:rPr>
      </w:pPr>
      <w:r>
        <w:rPr>
          <w:b/>
        </w:rPr>
        <w:t>Case study</w:t>
      </w:r>
    </w:p>
    <w:p w14:paraId="3CB8C3C0" w14:textId="77777777" w:rsidR="00225048" w:rsidRDefault="00225048" w:rsidP="00225048">
      <w:pPr>
        <w:ind w:firstLine="720"/>
        <w:jc w:val="both"/>
      </w:pPr>
      <w:r>
        <w:t xml:space="preserve">Many businesses are cash oriented </w:t>
      </w:r>
      <w:r>
        <w:rPr>
          <w:noProof/>
        </w:rPr>
        <w:t>hence it</w:t>
      </w:r>
      <w:r>
        <w:t xml:space="preserve"> is easy to probe for unreported income </w:t>
      </w:r>
      <w:sdt>
        <w:sdtPr>
          <w:id w:val="-367453301"/>
          <w:citation/>
        </w:sdtPr>
        <w:sdtContent>
          <w:r>
            <w:fldChar w:fldCharType="begin"/>
          </w:r>
          <w:r>
            <w:instrText xml:space="preserve"> CITATION Emm15 \l 1033 </w:instrText>
          </w:r>
          <w:r>
            <w:fldChar w:fldCharType="separate"/>
          </w:r>
          <w:r>
            <w:rPr>
              <w:noProof/>
            </w:rPr>
            <w:t>(Emmanuel, 2015)</w:t>
          </w:r>
          <w:r>
            <w:fldChar w:fldCharType="end"/>
          </w:r>
        </w:sdtContent>
      </w:sdt>
      <w:r>
        <w:t xml:space="preserve">. Ideally, in cases of lack of adequate books, audit trail and records examiners audit should emphasize on evaluating unreported income. Primarily, forensic accountants are the examiners are the ones who are used by law enforcement agents to find out unreported income </w:t>
      </w:r>
      <w:sdt>
        <w:sdtPr>
          <w:id w:val="-1446613963"/>
          <w:citation/>
        </w:sdtPr>
        <w:sdtContent>
          <w:r>
            <w:fldChar w:fldCharType="begin"/>
          </w:r>
          <w:r>
            <w:instrText xml:space="preserve"> CITATION Zys09 \l 1033 </w:instrText>
          </w:r>
          <w:r>
            <w:fldChar w:fldCharType="separate"/>
          </w:r>
          <w:r>
            <w:rPr>
              <w:noProof/>
            </w:rPr>
            <w:t>(Zysman, 2009)</w:t>
          </w:r>
          <w:r>
            <w:fldChar w:fldCharType="end"/>
          </w:r>
        </w:sdtContent>
      </w:sdt>
      <w:r>
        <w:t xml:space="preserve">. The reports of the forensic accountants help law enforcement agencies make informed decisions about various financial crimes. The forensic accountants determine whether individuals or companies have properly reported their income. In the case of </w:t>
      </w:r>
      <w:r>
        <w:rPr>
          <w:noProof/>
        </w:rPr>
        <w:t>couples</w:t>
      </w:r>
      <w:r>
        <w:t xml:space="preserve"> who were raided by law enforcement agencies forensic accountants conducted an </w:t>
      </w:r>
      <w:r>
        <w:rPr>
          <w:noProof/>
        </w:rPr>
        <w:t>in depth</w:t>
      </w:r>
      <w:r>
        <w:t xml:space="preserve"> evaluation and found that they had unreported income. The report from the forensic accountants is the primary reason why the court ruled that the monies discovered by the police in the couple’s house should </w:t>
      </w:r>
      <w:r>
        <w:rPr>
          <w:noProof/>
        </w:rPr>
        <w:t>be confiscated</w:t>
      </w:r>
      <w:r>
        <w:t xml:space="preserve">.  The following is the breakdown of how forensic accountants knew the </w:t>
      </w:r>
      <w:r>
        <w:rPr>
          <w:noProof/>
        </w:rPr>
        <w:t>actual facts</w:t>
      </w:r>
      <w:r>
        <w:t xml:space="preserve"> about the monies and how they were able to conclude that the husband and wife must have had access to unidentified sources of income.</w:t>
      </w:r>
    </w:p>
    <w:p w14:paraId="173A8055" w14:textId="77777777" w:rsidR="00225048" w:rsidRDefault="00225048" w:rsidP="00225048">
      <w:pPr>
        <w:ind w:firstLine="720"/>
        <w:jc w:val="both"/>
      </w:pPr>
      <w:r>
        <w:lastRenderedPageBreak/>
        <w:t xml:space="preserve">The forensic accountants </w:t>
      </w:r>
      <w:r>
        <w:rPr>
          <w:noProof/>
        </w:rPr>
        <w:t>made an analysis of</w:t>
      </w:r>
      <w:r>
        <w:t xml:space="preserve"> the couple’s bank account and obtained an overview of their income. The forensic income analysis allowed him to obtain a detailed </w:t>
      </w:r>
      <w:r>
        <w:rPr>
          <w:noProof/>
        </w:rPr>
        <w:t>outline</w:t>
      </w:r>
      <w:r>
        <w:t xml:space="preserve"> of the couple income and spending habits. By reviewing the personal cash that </w:t>
      </w:r>
      <w:r>
        <w:rPr>
          <w:noProof/>
        </w:rPr>
        <w:t>was found</w:t>
      </w:r>
      <w:r>
        <w:t xml:space="preserve"> at the house, banked income and the </w:t>
      </w:r>
      <w:r>
        <w:rPr>
          <w:noProof/>
        </w:rPr>
        <w:t>amount</w:t>
      </w:r>
      <w:r>
        <w:t xml:space="preserve"> they had spent over the </w:t>
      </w:r>
      <w:r>
        <w:rPr>
          <w:noProof/>
        </w:rPr>
        <w:t xml:space="preserve">period </w:t>
      </w:r>
      <w:r>
        <w:t xml:space="preserve">forensic accountant was able to show that the couple had spent more cash than they had received. The forensic accounts allowed the court to conclude that the couple had an unidentified source of income. </w:t>
      </w:r>
    </w:p>
    <w:p w14:paraId="3A59FFB7" w14:textId="77777777" w:rsidR="00225048" w:rsidRDefault="00225048" w:rsidP="00225048">
      <w:pPr>
        <w:ind w:firstLine="720"/>
        <w:jc w:val="both"/>
      </w:pPr>
      <w:r>
        <w:t xml:space="preserve">There are various ways that the forensic would have used to determine that the couple had an unidentified source of income. One of the ways is the Cash T Method forensic accounting which compares the amount of cash received that amount that </w:t>
      </w:r>
      <w:r>
        <w:rPr>
          <w:noProof/>
        </w:rPr>
        <w:t>is spent</w:t>
      </w:r>
      <w:r>
        <w:t xml:space="preserve">. The method is used by forensic accountants to show whether an individual has understated their income. The method is easily applicable and understood because it compares the amount of cash coming </w:t>
      </w:r>
      <w:r>
        <w:rPr>
          <w:noProof/>
        </w:rPr>
        <w:t>into</w:t>
      </w:r>
      <w:r>
        <w:t xml:space="preserve"> the one that is going out.  Ideally, in this </w:t>
      </w:r>
      <w:r>
        <w:rPr>
          <w:noProof/>
        </w:rPr>
        <w:t>model</w:t>
      </w:r>
      <w:r>
        <w:t xml:space="preserve"> all the known types of income, cash transactions or monies that are coming in are placed in the </w:t>
      </w:r>
      <w:r>
        <w:rPr>
          <w:noProof/>
        </w:rPr>
        <w:t>debit</w:t>
      </w:r>
      <w:r>
        <w:t xml:space="preserve"> while the one that </w:t>
      </w:r>
      <w:r>
        <w:rPr>
          <w:noProof/>
        </w:rPr>
        <w:t>is</w:t>
      </w:r>
      <w:r>
        <w:t xml:space="preserve"> flowing out </w:t>
      </w:r>
      <w:r>
        <w:rPr>
          <w:noProof/>
        </w:rPr>
        <w:t>are placed</w:t>
      </w:r>
      <w:r>
        <w:t xml:space="preserve"> in the credit section. In this case, the forensic placed all cash transactions of the couple in their respective corner and compared them to see if the couple had </w:t>
      </w:r>
      <w:r>
        <w:rPr>
          <w:noProof/>
        </w:rPr>
        <w:t>unidentified</w:t>
      </w:r>
      <w:r>
        <w:t xml:space="preserve"> source of income. After a </w:t>
      </w:r>
      <w:r>
        <w:rPr>
          <w:noProof/>
        </w:rPr>
        <w:t>thorough</w:t>
      </w:r>
      <w:r>
        <w:t xml:space="preserve"> </w:t>
      </w:r>
      <w:r>
        <w:rPr>
          <w:noProof/>
        </w:rPr>
        <w:t>comparison</w:t>
      </w:r>
      <w:r>
        <w:t xml:space="preserve"> the forensic accountant found that the couple had </w:t>
      </w:r>
      <w:r>
        <w:rPr>
          <w:noProof/>
        </w:rPr>
        <w:t>unidentified</w:t>
      </w:r>
      <w:r>
        <w:t xml:space="preserve"> source of income because their expenditure or credit exceeded their debit. Their expenditure was higher than the money that was coming in which was an indication that they had an unidentified source of income </w:t>
      </w:r>
      <w:sdt>
        <w:sdtPr>
          <w:id w:val="1463150252"/>
          <w:citation/>
        </w:sdtPr>
        <w:sdtContent>
          <w:r>
            <w:fldChar w:fldCharType="begin"/>
          </w:r>
          <w:r>
            <w:instrText xml:space="preserve"> CITATION Mai162 \l 1033 </w:instrText>
          </w:r>
          <w:r>
            <w:fldChar w:fldCharType="separate"/>
          </w:r>
          <w:r>
            <w:rPr>
              <w:noProof/>
            </w:rPr>
            <w:t>(Mai, 2016)</w:t>
          </w:r>
          <w:r>
            <w:fldChar w:fldCharType="end"/>
          </w:r>
        </w:sdtContent>
      </w:sdt>
      <w:r>
        <w:t xml:space="preserve">. The financial accountant was able to accurately determine that the couple living expenses had exceeded their receive income. The deficit allowed the court ruled that the money confiscated in the house to should be frozen. </w:t>
      </w:r>
    </w:p>
    <w:p w14:paraId="29B3EA38" w14:textId="77777777" w:rsidR="00225048" w:rsidRDefault="00225048" w:rsidP="00225048">
      <w:pPr>
        <w:ind w:firstLine="720"/>
        <w:jc w:val="both"/>
      </w:pPr>
      <w:r>
        <w:t xml:space="preserve">The other method the financial accountant would have used is the Bank Deposit Method.  Bank Deposit method is income method that is used by forensic accountants to determine unreported income or unidentified source of income </w:t>
      </w:r>
      <w:sdt>
        <w:sdtPr>
          <w:id w:val="980578565"/>
          <w:citation/>
        </w:sdtPr>
        <w:sdtContent>
          <w:r>
            <w:fldChar w:fldCharType="begin"/>
          </w:r>
          <w:r>
            <w:instrText xml:space="preserve"> CITATION Cus16 \l 1033 </w:instrText>
          </w:r>
          <w:r>
            <w:fldChar w:fldCharType="separate"/>
          </w:r>
          <w:r>
            <w:rPr>
              <w:noProof/>
            </w:rPr>
            <w:t>(Cusack &amp; Ahokov, 2016)</w:t>
          </w:r>
          <w:r>
            <w:fldChar w:fldCharType="end"/>
          </w:r>
        </w:sdtContent>
      </w:sdt>
      <w:r>
        <w:t xml:space="preserve">. The method involves </w:t>
      </w:r>
      <w:proofErr w:type="spellStart"/>
      <w:r>
        <w:t>analyzing</w:t>
      </w:r>
      <w:proofErr w:type="spellEnd"/>
      <w:r>
        <w:t xml:space="preserve"> the amount of money that </w:t>
      </w:r>
      <w:r>
        <w:rPr>
          <w:noProof/>
        </w:rPr>
        <w:t>is deposited</w:t>
      </w:r>
      <w:r>
        <w:t xml:space="preserve"> in someone’s account by comparing it with the reported income. The forensic accountant investigated the deposits that were made into the couple’s accounts and compared them with the reported income. The forensic accountant found that the couple had access to more money than they claimed to earn. Therefore, the couple had </w:t>
      </w:r>
      <w:r>
        <w:rPr>
          <w:noProof/>
        </w:rPr>
        <w:t>unidentified</w:t>
      </w:r>
      <w:r>
        <w:t xml:space="preserve"> source of income. The </w:t>
      </w:r>
      <w:r>
        <w:rPr>
          <w:noProof/>
        </w:rPr>
        <w:t>amount</w:t>
      </w:r>
      <w:r>
        <w:t xml:space="preserve"> of deposits </w:t>
      </w:r>
      <w:proofErr w:type="gramStart"/>
      <w:r>
        <w:t>were</w:t>
      </w:r>
      <w:proofErr w:type="gramEnd"/>
      <w:r>
        <w:t xml:space="preserve"> less than </w:t>
      </w:r>
      <w:r>
        <w:rPr>
          <w:noProof/>
        </w:rPr>
        <w:t>the</w:t>
      </w:r>
      <w:r>
        <w:t xml:space="preserve"> money the couple had access to which means that the couple had under-reported their income. This information allowed the court to rule that the money found in the couple’s house should </w:t>
      </w:r>
      <w:r>
        <w:rPr>
          <w:noProof/>
        </w:rPr>
        <w:t>be confiscated</w:t>
      </w:r>
      <w:r>
        <w:t>.</w:t>
      </w:r>
    </w:p>
    <w:p w14:paraId="762D3EE8" w14:textId="77777777" w:rsidR="00225048" w:rsidRDefault="00225048" w:rsidP="00225048">
      <w:pPr>
        <w:ind w:firstLine="720"/>
        <w:jc w:val="both"/>
      </w:pPr>
      <w:r>
        <w:rPr>
          <w:noProof/>
        </w:rPr>
        <w:t>Lastly,</w:t>
      </w:r>
      <w:r>
        <w:t xml:space="preserve"> the Net Worth Method could have been used to </w:t>
      </w:r>
      <w:r>
        <w:rPr>
          <w:noProof/>
        </w:rPr>
        <w:t>see how</w:t>
      </w:r>
      <w:r>
        <w:t xml:space="preserve"> </w:t>
      </w:r>
      <w:r>
        <w:rPr>
          <w:noProof/>
        </w:rPr>
        <w:t>the</w:t>
      </w:r>
      <w:r>
        <w:t xml:space="preserve"> couple had access to </w:t>
      </w:r>
      <w:r>
        <w:rPr>
          <w:noProof/>
        </w:rPr>
        <w:t>unidentified</w:t>
      </w:r>
      <w:r>
        <w:t xml:space="preserve"> source of income. The method is used by forensic accountants to identify different types of fraud </w:t>
      </w:r>
      <w:sdt>
        <w:sdtPr>
          <w:id w:val="-1405452761"/>
          <w:citation/>
        </w:sdtPr>
        <w:sdtContent>
          <w:r>
            <w:fldChar w:fldCharType="begin"/>
          </w:r>
          <w:r>
            <w:instrText xml:space="preserve"> CITATION Slo12 \l 1033 </w:instrText>
          </w:r>
          <w:r>
            <w:fldChar w:fldCharType="separate"/>
          </w:r>
          <w:r>
            <w:rPr>
              <w:noProof/>
            </w:rPr>
            <w:t>(Slot, 2012)</w:t>
          </w:r>
          <w:r>
            <w:fldChar w:fldCharType="end"/>
          </w:r>
        </w:sdtContent>
      </w:sdt>
      <w:r>
        <w:t xml:space="preserve">. The tools according to different studies </w:t>
      </w:r>
      <w:r>
        <w:rPr>
          <w:noProof/>
        </w:rPr>
        <w:t>is</w:t>
      </w:r>
      <w:r>
        <w:t xml:space="preserve"> effective in identifying individuals who have </w:t>
      </w:r>
      <w:r>
        <w:rPr>
          <w:noProof/>
        </w:rPr>
        <w:t>unidentified</w:t>
      </w:r>
      <w:r>
        <w:t xml:space="preserve"> source of income or have underreported their income. The method is used in various contexts such as fraud and divorce litigations to determine whether a person has unidentified or unreported income.  The method revolves around </w:t>
      </w:r>
      <w:r>
        <w:rPr>
          <w:noProof/>
        </w:rPr>
        <w:t>looking</w:t>
      </w:r>
      <w:r>
        <w:t xml:space="preserve"> people’s net worth by subtracting their liabilities from assets.  The method states that if the net worth of a person increased more than the reported income or the reported income of a </w:t>
      </w:r>
      <w:r>
        <w:rPr>
          <w:noProof/>
        </w:rPr>
        <w:t>person</w:t>
      </w:r>
      <w:r>
        <w:t xml:space="preserve"> then the person has an unidentified source of income. The method was used to show that </w:t>
      </w:r>
      <w:r>
        <w:rPr>
          <w:noProof/>
        </w:rPr>
        <w:t>couple</w:t>
      </w:r>
      <w:r>
        <w:t xml:space="preserve"> had an identified source of income. In this case, the couple living expenses showed that their net worth was higher than what they had reported. The liabilities of the couple were higher than their reported net worth which is an indication that their money could have </w:t>
      </w:r>
      <w:r>
        <w:rPr>
          <w:noProof/>
        </w:rPr>
        <w:t>been obtained</w:t>
      </w:r>
      <w:r>
        <w:t xml:space="preserve"> from proceeds of corruption. The resulting numbers of the reported income versus their liabilities created reconciled differences that indicated that the couple had unidentified sources of income. Using this </w:t>
      </w:r>
      <w:proofErr w:type="gramStart"/>
      <w:r>
        <w:t>method</w:t>
      </w:r>
      <w:proofErr w:type="gramEnd"/>
      <w:r>
        <w:t xml:space="preserve"> the forensic accountant could come up with sufficient evidence showing that the couple had money from illegal proceeding. The evidence could </w:t>
      </w:r>
      <w:r>
        <w:lastRenderedPageBreak/>
        <w:t xml:space="preserve">have formed a strong basis for the court to rule that the money obtained in the house of the couple should </w:t>
      </w:r>
      <w:r>
        <w:rPr>
          <w:noProof/>
        </w:rPr>
        <w:t>be confiscated</w:t>
      </w:r>
      <w:r>
        <w:t xml:space="preserve">. </w:t>
      </w:r>
    </w:p>
    <w:p w14:paraId="40D33EF2" w14:textId="77777777" w:rsidR="00225048" w:rsidRDefault="00225048" w:rsidP="00225048">
      <w:pPr>
        <w:ind w:firstLine="720"/>
      </w:pPr>
      <w:r>
        <w:br w:type="page"/>
      </w:r>
    </w:p>
    <w:p w14:paraId="03229CB7" w14:textId="77777777" w:rsidR="00225048" w:rsidRDefault="00225048" w:rsidP="00225048">
      <w:pPr>
        <w:jc w:val="center"/>
      </w:pPr>
      <w:r>
        <w:lastRenderedPageBreak/>
        <w:t>References</w:t>
      </w:r>
    </w:p>
    <w:sdt>
      <w:sdtPr>
        <w:rPr>
          <w:rFonts w:ascii="Times New Roman" w:eastAsiaTheme="minorHAnsi" w:hAnsi="Times New Roman" w:cstheme="minorBidi"/>
          <w:color w:val="auto"/>
          <w:sz w:val="24"/>
          <w:szCs w:val="22"/>
        </w:rPr>
        <w:id w:val="-1989479754"/>
        <w:docPartObj>
          <w:docPartGallery w:val="Bibliographies"/>
          <w:docPartUnique/>
        </w:docPartObj>
      </w:sdtPr>
      <w:sdtEndPr>
        <w:rPr>
          <w:rFonts w:asciiTheme="minorHAnsi" w:hAnsiTheme="minorHAnsi"/>
          <w:sz w:val="22"/>
          <w:lang w:val="en-GB"/>
        </w:rPr>
      </w:sdtEndPr>
      <w:sdtContent>
        <w:p w14:paraId="61E2C0F1" w14:textId="77777777" w:rsidR="00225048" w:rsidRDefault="00225048" w:rsidP="00225048">
          <w:pPr>
            <w:pStyle w:val="Heading1"/>
          </w:pPr>
        </w:p>
        <w:sdt>
          <w:sdtPr>
            <w:id w:val="-573587230"/>
            <w:bibliography/>
          </w:sdtPr>
          <w:sdtEndPr>
            <w:rPr>
              <w:rFonts w:asciiTheme="minorHAnsi" w:hAnsiTheme="minorHAnsi"/>
              <w:sz w:val="22"/>
              <w:lang w:val="en-GB"/>
            </w:rPr>
          </w:sdtEndPr>
          <w:sdtContent>
            <w:p w14:paraId="5310BAB0" w14:textId="77777777" w:rsidR="00225048" w:rsidRDefault="00225048" w:rsidP="00225048">
              <w:pPr>
                <w:pStyle w:val="Bibliography"/>
                <w:ind w:left="720" w:hanging="720"/>
                <w:rPr>
                  <w:noProof/>
                  <w:szCs w:val="24"/>
                </w:rPr>
              </w:pPr>
              <w:r>
                <w:fldChar w:fldCharType="begin"/>
              </w:r>
              <w:r>
                <w:instrText xml:space="preserve"> BIBLIOGRAPHY </w:instrText>
              </w:r>
              <w:r>
                <w:fldChar w:fldCharType="separate"/>
              </w:r>
              <w:r>
                <w:rPr>
                  <w:noProof/>
                </w:rPr>
                <w:t xml:space="preserve">Cusack, B., &amp; Ahokov, T. (2016). </w:t>
              </w:r>
              <w:r>
                <w:rPr>
                  <w:i/>
                  <w:iCs/>
                  <w:noProof/>
                </w:rPr>
                <w:t>Improving forensic software tool performance in detecting fraud for financial statements.</w:t>
              </w:r>
              <w:r>
                <w:rPr>
                  <w:noProof/>
                </w:rPr>
                <w:t xml:space="preserve"> Edith Cowan University.</w:t>
              </w:r>
            </w:p>
            <w:p w14:paraId="43D6DA50" w14:textId="77777777" w:rsidR="00225048" w:rsidRDefault="00225048" w:rsidP="00225048">
              <w:pPr>
                <w:pStyle w:val="Bibliography"/>
                <w:ind w:left="720" w:hanging="720"/>
                <w:rPr>
                  <w:noProof/>
                </w:rPr>
              </w:pPr>
              <w:r>
                <w:rPr>
                  <w:noProof/>
                </w:rPr>
                <w:t xml:space="preserve">Detotto, C., &amp; Otranto, E. (2010). Does Crime Affect Economic Growth?,. </w:t>
              </w:r>
              <w:r>
                <w:rPr>
                  <w:i/>
                  <w:iCs/>
                  <w:noProof/>
                </w:rPr>
                <w:t>Kyklos, 63</w:t>
              </w:r>
              <w:r>
                <w:rPr>
                  <w:noProof/>
                </w:rPr>
                <w:t>(3), 330-345.</w:t>
              </w:r>
            </w:p>
            <w:p w14:paraId="248209E1" w14:textId="77777777" w:rsidR="00225048" w:rsidRDefault="00225048" w:rsidP="00225048">
              <w:pPr>
                <w:pStyle w:val="Bibliography"/>
                <w:ind w:left="720" w:hanging="720"/>
                <w:rPr>
                  <w:noProof/>
                </w:rPr>
              </w:pPr>
              <w:r>
                <w:rPr>
                  <w:noProof/>
                </w:rPr>
                <w:t xml:space="preserve">Emmanuel, A. (2015, October 11). </w:t>
              </w:r>
              <w:r>
                <w:rPr>
                  <w:i/>
                  <w:iCs/>
                  <w:noProof/>
                </w:rPr>
                <w:t>Do Certain Businesses Attract Crime?</w:t>
              </w:r>
              <w:r>
                <w:rPr>
                  <w:noProof/>
                </w:rPr>
                <w:t xml:space="preserve"> Retrieved from ATTN website: https://archive.attn.com/stories/3382/which-businesses-attract-crime</w:t>
              </w:r>
            </w:p>
            <w:p w14:paraId="2BC1B5E9" w14:textId="77777777" w:rsidR="00225048" w:rsidRDefault="00225048" w:rsidP="00225048">
              <w:pPr>
                <w:pStyle w:val="Bibliography"/>
                <w:ind w:left="720" w:hanging="720"/>
                <w:rPr>
                  <w:noProof/>
                </w:rPr>
              </w:pPr>
              <w:r>
                <w:rPr>
                  <w:noProof/>
                </w:rPr>
                <w:t xml:space="preserve">Lam, C. S., &amp; Greenles, M. (2017). Casino money laundering regulations – Macao and USA. </w:t>
              </w:r>
              <w:r>
                <w:rPr>
                  <w:i/>
                  <w:iCs/>
                  <w:noProof/>
                </w:rPr>
                <w:t>Journal of Money Laundering Control, 20</w:t>
              </w:r>
              <w:r>
                <w:rPr>
                  <w:noProof/>
                </w:rPr>
                <w:t>(1), 52-69.</w:t>
              </w:r>
            </w:p>
            <w:p w14:paraId="416C75D3" w14:textId="77777777" w:rsidR="00225048" w:rsidRDefault="00225048" w:rsidP="00225048">
              <w:pPr>
                <w:pStyle w:val="Bibliography"/>
                <w:ind w:left="720" w:hanging="720"/>
                <w:rPr>
                  <w:noProof/>
                </w:rPr>
              </w:pPr>
              <w:r>
                <w:rPr>
                  <w:noProof/>
                </w:rPr>
                <w:t xml:space="preserve">Mai, H. (2016). </w:t>
              </w:r>
              <w:r>
                <w:rPr>
                  <w:i/>
                  <w:iCs/>
                  <w:noProof/>
                </w:rPr>
                <w:t>Cash, freedom and crime.</w:t>
              </w:r>
              <w:r>
                <w:rPr>
                  <w:noProof/>
                </w:rPr>
                <w:t xml:space="preserve"> Frankfurt: DB Research Management.</w:t>
              </w:r>
            </w:p>
            <w:p w14:paraId="78F0F2BF" w14:textId="77777777" w:rsidR="00225048" w:rsidRDefault="00225048" w:rsidP="00225048">
              <w:pPr>
                <w:pStyle w:val="Bibliography"/>
                <w:ind w:left="720" w:hanging="720"/>
                <w:rPr>
                  <w:noProof/>
                </w:rPr>
              </w:pPr>
              <w:r>
                <w:rPr>
                  <w:noProof/>
                </w:rPr>
                <w:t xml:space="preserve">Mailashvili, J. (2016). Criminal Characterization of Appropriation and Embezzlement and Their Separation. </w:t>
              </w:r>
              <w:r>
                <w:rPr>
                  <w:i/>
                  <w:iCs/>
                  <w:noProof/>
                </w:rPr>
                <w:t>European Scientific Journal</w:t>
              </w:r>
              <w:r>
                <w:rPr>
                  <w:noProof/>
                </w:rPr>
                <w:t>, 178-182.</w:t>
              </w:r>
            </w:p>
            <w:p w14:paraId="4E9D7416" w14:textId="77777777" w:rsidR="00225048" w:rsidRDefault="00225048" w:rsidP="00225048">
              <w:pPr>
                <w:pStyle w:val="Bibliography"/>
                <w:ind w:left="720" w:hanging="720"/>
                <w:rPr>
                  <w:noProof/>
                </w:rPr>
              </w:pPr>
              <w:r>
                <w:rPr>
                  <w:noProof/>
                </w:rPr>
                <w:t xml:space="preserve">Ozili, P. K. (2018). </w:t>
              </w:r>
              <w:r>
                <w:rPr>
                  <w:i/>
                  <w:iCs/>
                  <w:noProof/>
                </w:rPr>
                <w:t>Advances and Issues in Fraud Research: A Commentary.</w:t>
              </w:r>
              <w:r>
                <w:rPr>
                  <w:noProof/>
                </w:rPr>
                <w:t xml:space="preserve"> Munich: Munich Personal RePEc Archive.</w:t>
              </w:r>
            </w:p>
            <w:p w14:paraId="097B3CA6" w14:textId="77777777" w:rsidR="00225048" w:rsidRDefault="00225048" w:rsidP="00225048">
              <w:pPr>
                <w:pStyle w:val="Bibliography"/>
                <w:ind w:left="720" w:hanging="720"/>
                <w:rPr>
                  <w:noProof/>
                </w:rPr>
              </w:pPr>
              <w:r>
                <w:rPr>
                  <w:noProof/>
                </w:rPr>
                <w:t xml:space="preserve">Rios, V. (2016). </w:t>
              </w:r>
              <w:r>
                <w:rPr>
                  <w:i/>
                  <w:iCs/>
                  <w:noProof/>
                </w:rPr>
                <w:t>The impact of crime and violence on economic sector diversity.</w:t>
              </w:r>
              <w:r>
                <w:rPr>
                  <w:noProof/>
                </w:rPr>
                <w:t xml:space="preserve"> The Wilson Center.</w:t>
              </w:r>
            </w:p>
            <w:p w14:paraId="57D258D0" w14:textId="77777777" w:rsidR="00225048" w:rsidRDefault="00225048" w:rsidP="00225048">
              <w:pPr>
                <w:pStyle w:val="Bibliography"/>
                <w:ind w:left="720" w:hanging="720"/>
                <w:rPr>
                  <w:noProof/>
                </w:rPr>
              </w:pPr>
              <w:r>
                <w:rPr>
                  <w:noProof/>
                </w:rPr>
                <w:t xml:space="preserve">Slot, J. (2012). </w:t>
              </w:r>
              <w:r>
                <w:rPr>
                  <w:i/>
                  <w:iCs/>
                  <w:noProof/>
                </w:rPr>
                <w:t>An evaluation of the forensic accountant’s role in criminal law.</w:t>
              </w:r>
              <w:r>
                <w:rPr>
                  <w:noProof/>
                </w:rPr>
                <w:t xml:space="preserve"> North-West University.</w:t>
              </w:r>
            </w:p>
            <w:p w14:paraId="3BA5F95B" w14:textId="77777777" w:rsidR="00225048" w:rsidRDefault="00225048" w:rsidP="00225048">
              <w:pPr>
                <w:pStyle w:val="Bibliography"/>
                <w:ind w:left="720" w:hanging="720"/>
                <w:rPr>
                  <w:noProof/>
                </w:rPr>
              </w:pPr>
              <w:r>
                <w:rPr>
                  <w:noProof/>
                </w:rPr>
                <w:t xml:space="preserve">Wong, K. C. (2005). </w:t>
              </w:r>
              <w:r>
                <w:rPr>
                  <w:i/>
                  <w:iCs/>
                  <w:noProof/>
                </w:rPr>
                <w:t>From White-Collar Crime to Organizational Crime: An Intellectual History.</w:t>
              </w:r>
              <w:r>
                <w:rPr>
                  <w:noProof/>
                </w:rPr>
                <w:t xml:space="preserve"> Oshkosh: University of Wisconsin.</w:t>
              </w:r>
            </w:p>
            <w:p w14:paraId="695BF112" w14:textId="77777777" w:rsidR="00225048" w:rsidRDefault="00225048" w:rsidP="00225048">
              <w:pPr>
                <w:pStyle w:val="Bibliography"/>
                <w:ind w:left="720" w:hanging="720"/>
                <w:rPr>
                  <w:noProof/>
                </w:rPr>
              </w:pPr>
              <w:r>
                <w:rPr>
                  <w:noProof/>
                </w:rPr>
                <w:t xml:space="preserve">Zysman, A. (2009). </w:t>
              </w:r>
              <w:r>
                <w:rPr>
                  <w:i/>
                  <w:iCs/>
                  <w:noProof/>
                </w:rPr>
                <w:t>Litigation: Forensic Accounting Demystified.</w:t>
              </w:r>
              <w:r>
                <w:rPr>
                  <w:noProof/>
                </w:rPr>
                <w:t xml:space="preserve"> Retrieved from Forensic Accounting: http://www.forensicaccounting.com/home.html</w:t>
              </w:r>
            </w:p>
            <w:p w14:paraId="073C37A7" w14:textId="77777777" w:rsidR="00225048" w:rsidRDefault="00225048" w:rsidP="00225048">
              <w:pPr>
                <w:ind w:hanging="720"/>
              </w:pPr>
              <w:r>
                <w:rPr>
                  <w:b/>
                  <w:bCs/>
                  <w:noProof/>
                </w:rPr>
                <w:lastRenderedPageBreak/>
                <w:fldChar w:fldCharType="end"/>
              </w:r>
            </w:p>
          </w:sdtContent>
        </w:sdt>
      </w:sdtContent>
    </w:sdt>
    <w:p w14:paraId="2C2FBBAA" w14:textId="77777777" w:rsidR="00225048" w:rsidRDefault="00225048" w:rsidP="00225048">
      <w:pPr>
        <w:ind w:hanging="720"/>
      </w:pPr>
    </w:p>
    <w:p w14:paraId="3E3F32DD" w14:textId="77777777" w:rsidR="00225048" w:rsidRDefault="00225048" w:rsidP="00225048">
      <w:pPr>
        <w:ind w:hanging="720"/>
      </w:pPr>
    </w:p>
    <w:p w14:paraId="198F146A" w14:textId="77777777" w:rsidR="00225048" w:rsidRDefault="00225048" w:rsidP="00225048"/>
    <w:p w14:paraId="70B6249D" w14:textId="77777777" w:rsidR="00EA30AB" w:rsidRPr="00B0415E" w:rsidRDefault="00EA30AB" w:rsidP="00503D7E">
      <w:pPr>
        <w:rPr>
          <w:rFonts w:cs="Times New Roman"/>
          <w:sz w:val="24"/>
          <w:szCs w:val="32"/>
        </w:rPr>
      </w:pPr>
    </w:p>
    <w:sectPr w:rsidR="00EA30AB" w:rsidRPr="00B0415E" w:rsidSect="00225048">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BA026" w14:textId="77777777" w:rsidR="00553EA6" w:rsidRDefault="00553EA6" w:rsidP="00CB4D0A">
      <w:pPr>
        <w:spacing w:after="0" w:line="240" w:lineRule="auto"/>
      </w:pPr>
      <w:r>
        <w:separator/>
      </w:r>
    </w:p>
  </w:endnote>
  <w:endnote w:type="continuationSeparator" w:id="0">
    <w:p w14:paraId="6AC9CCF1" w14:textId="77777777" w:rsidR="00553EA6" w:rsidRDefault="00553E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00F66" w14:textId="77777777" w:rsidR="00553EA6" w:rsidRDefault="00553EA6" w:rsidP="00CB4D0A">
      <w:pPr>
        <w:spacing w:after="0" w:line="240" w:lineRule="auto"/>
      </w:pPr>
      <w:r>
        <w:separator/>
      </w:r>
    </w:p>
  </w:footnote>
  <w:footnote w:type="continuationSeparator" w:id="0">
    <w:p w14:paraId="041062E8" w14:textId="77777777" w:rsidR="00553EA6" w:rsidRDefault="00553EA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5048"/>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EA6"/>
    <w:rsid w:val="00574D64"/>
    <w:rsid w:val="00581A6F"/>
    <w:rsid w:val="00591365"/>
    <w:rsid w:val="005B31E4"/>
    <w:rsid w:val="006034F6"/>
    <w:rsid w:val="00607874"/>
    <w:rsid w:val="00607E77"/>
    <w:rsid w:val="00617BB3"/>
    <w:rsid w:val="006335E2"/>
    <w:rsid w:val="00645CDD"/>
    <w:rsid w:val="006823A7"/>
    <w:rsid w:val="00687EE8"/>
    <w:rsid w:val="0070347F"/>
    <w:rsid w:val="0070678E"/>
    <w:rsid w:val="00831C11"/>
    <w:rsid w:val="0087428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12C83"/>
  <w15:docId w15:val="{11E98B47-4C25-4583-80E3-0B696605B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25048"/>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25048"/>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semiHidden/>
    <w:unhideWhenUsed/>
    <w:rsid w:val="00225048"/>
    <w:pPr>
      <w:spacing w:line="480" w:lineRule="auto"/>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A8311-DD1A-4C50-8F16-AAD12B5C4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Antwnia</cp:lastModifiedBy>
  <cp:revision>2</cp:revision>
  <dcterms:created xsi:type="dcterms:W3CDTF">2019-02-18T10:17:00Z</dcterms:created>
  <dcterms:modified xsi:type="dcterms:W3CDTF">2019-02-18T10:17:00Z</dcterms:modified>
</cp:coreProperties>
</file>