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Default Extension="bin" ContentType="application/vnd.openxmlformats-officedocument.oleObject"/>
  <Default Extension="wmf" ContentType="image/x-wmf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</w:pPr>
      <w:r>
        <w:object w:dxaOrig="4248" w:dyaOrig="2145">
          <v:rect xmlns:o="urn:schemas-microsoft-com:office:office" xmlns:v="urn:schemas-microsoft-com:vml" id="rectole0000000000" style="width:212.400000pt;height:107.250000pt" o:preferrelative="t" o:ole="">
            <o:lock v:ext="edit"/>
            <v:imagedata xmlns:r="http://schemas.openxmlformats.org/officeDocument/2006/relationships" r:id="docRId1" o:title=""/>
          </v:rect>
          <o:OLEObject xmlns:r="http://schemas.openxmlformats.org/officeDocument/2006/relationships" xmlns:o="urn:schemas-microsoft-com:office:office" Type="Embed" ProgID="StaticMetafile" DrawAspect="Content" ObjectID="0000000000" ShapeID="rectole0000000000" r:id="docRId0"/>
        </w:object>
      </w:r>
      <w:r>
        <w:rPr>
          <w:rFonts w:ascii="Calibri" w:hAnsi="Calibri" w:cs="Calibri" w:eastAsia="Calibri"/>
          <w:color w:val="000000"/>
          <w:spacing w:val="0"/>
          <w:position w:val="0"/>
          <w:sz w:val="24"/>
          <w:shd w:fill="auto" w:val="clear"/>
        </w:rPr>
        <w:t xml:space="preserve">                                                                  </w:t>
      </w:r>
    </w:p>
    <w:p>
      <w:pPr>
        <w:spacing w:before="0" w:after="200" w:line="276"/>
        <w:ind w:right="0" w:left="0" w:firstLine="0"/>
        <w:jc w:val="center"/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  <w:t xml:space="preserve">   </w:t>
      </w:r>
      <w:r>
        <w:rPr>
          <w:rFonts w:ascii="Calibri" w:hAnsi="Calibri" w:cs="Calibri" w:eastAsia="Calibri"/>
          <w:b/>
          <w:color w:val="002060"/>
          <w:spacing w:val="0"/>
          <w:position w:val="0"/>
          <w:sz w:val="44"/>
          <w:shd w:fill="auto" w:val="clear"/>
        </w:rPr>
        <w:t xml:space="preserve">Assignment Cover Sheet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</w:p>
    <w:tbl>
      <w:tblPr/>
      <w:tblGrid>
        <w:gridCol w:w="2566"/>
        <w:gridCol w:w="6676"/>
      </w:tblGrid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Name: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Michelle Stone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Student Number: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11493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Course: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Manicure and Pedicure</w:t>
            </w:r>
          </w:p>
        </w:tc>
      </w:tr>
      <w:tr>
        <w:trPr>
          <w:trHeight w:val="1" w:hRule="atLeast"/>
          <w:jc w:val="left"/>
        </w:trPr>
        <w:tc>
          <w:tcPr>
            <w:tcW w:w="256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Assignment NO:</w:t>
            </w:r>
          </w:p>
        </w:tc>
        <w:tc>
          <w:tcPr>
            <w:tcW w:w="66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auto" w:val="clear"/>
        </w:rPr>
        <w:t xml:space="preserve">Marking Criteria: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We expect the learners to write minimum one well expressed point in three lines against each allocated mark. This means one needs to write 15 lines with 5 well expressed points to get high grades for a 5 marks question.</w:t>
      </w: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auto"/>
          <w:spacing w:val="0"/>
          <w:position w:val="0"/>
          <w:sz w:val="22"/>
          <w:shd w:fill="auto" w:val="clear"/>
        </w:rPr>
        <w:t xml:space="preserve">For high grades use examples and illustrations where appropriate. </w:t>
      </w:r>
    </w:p>
    <w:tbl>
      <w:tblPr/>
      <w:tblGrid>
        <w:gridCol w:w="9242"/>
      </w:tblGrid>
      <w:tr>
        <w:trPr>
          <w:trHeight w:val="1" w:hRule="atLeast"/>
          <w:jc w:val="left"/>
        </w:trPr>
        <w:tc>
          <w:tcPr>
            <w:tcW w:w="9242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Arial" w:hAnsi="Arial" w:cs="Arial" w:eastAsia="Arial"/>
                <w:color w:val="auto"/>
                <w:spacing w:val="0"/>
                <w:position w:val="0"/>
                <w:sz w:val="24"/>
                <w:shd w:fill="auto" w:val="clear"/>
              </w:rPr>
              <w:t xml:space="preserve">Please insert your completed assignment ( in word format)  here: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tabs>
                <w:tab w:val="center" w:pos="2162" w:leader="none"/>
                <w:tab w:val="center" w:pos="5836" w:leader="none"/>
              </w:tabs>
              <w:spacing w:before="0" w:after="158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object w:dxaOrig="1886" w:dyaOrig="1030">
                <v:rect xmlns:o="urn:schemas-microsoft-com:office:office" xmlns:v="urn:schemas-microsoft-com:vml" id="rectole0000000001" style="width:94.300000pt;height:51.500000pt" o:preferrelative="t" o:ole="">
                  <o:lock v:ext="edit"/>
                  <v:imagedata xmlns:r="http://schemas.openxmlformats.org/officeDocument/2006/relationships" r:id="docRId3" o:title=""/>
                </v:rect>
                <o:OLEObject xmlns:r="http://schemas.openxmlformats.org/officeDocument/2006/relationships" xmlns:o="urn:schemas-microsoft-com:office:office" Type="Embed" ProgID="StaticMetafile" DrawAspect="Content" ObjectID="0000000001" ShapeID="rectole0000000001" r:id="docRId2"/>
              </w:object>
            </w:r>
            <w:r>
              <w:rPr>
                <w:rFonts w:ascii="Calibri" w:hAnsi="Calibri" w:cs="Calibri" w:eastAsia="Calibri"/>
                <w:b/>
                <w:color w:val="C00000"/>
                <w:spacing w:val="0"/>
                <w:position w:val="0"/>
                <w:sz w:val="28"/>
                <w:u w:val="single"/>
                <w:shd w:fill="auto" w:val="clear"/>
              </w:rPr>
              <w:tab/>
              <w:t xml:space="preserve">Manicure and Pedicure</w:t>
            </w:r>
          </w:p>
          <w:tbl>
            <w:tblPr>
              <w:tblInd w:w="1315" w:type="dxa"/>
            </w:tblPr>
            <w:tblGrid>
              <w:gridCol w:w="7967"/>
              <w:gridCol w:w="1988"/>
            </w:tblGrid>
            <w:tr>
              <w:trPr>
                <w:trHeight w:val="368" w:hRule="auto"/>
                <w:jc w:val="left"/>
              </w:trPr>
              <w:tc>
                <w:tcPr>
                  <w:tcW w:w="7967" w:type="dxa"/>
                  <w:tcBorders>
                    <w:top w:val="single" w:color="836967" w:sz="0"/>
                    <w:left w:val="single" w:color="c00000" w:sz="44"/>
                    <w:bottom w:val="single" w:color="836967" w:sz="0"/>
                    <w:right w:val="single" w:color="c00000" w:sz="43"/>
                  </w:tcBorders>
                  <w:shd w:color="auto" w:fill="c00000" w:val="clear"/>
                  <w:tcMar>
                    <w:left w:w="90" w:type="dxa"/>
                    <w:right w:w="90" w:type="dxa"/>
                  </w:tcMar>
                  <w:vAlign w:val="top"/>
                </w:tcPr>
                <w:p>
                  <w:pPr>
                    <w:spacing w:before="0" w:after="160" w:line="259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88" w:type="dxa"/>
                  <w:tcBorders>
                    <w:top w:val="single" w:color="836967" w:sz="0"/>
                    <w:left w:val="single" w:color="c00000" w:sz="43"/>
                    <w:bottom w:val="single" w:color="c00000" w:sz="28"/>
                    <w:right w:val="single" w:color="c00000" w:sz="42"/>
                  </w:tcBorders>
                  <w:shd w:color="auto" w:fill="c00000" w:val="clear"/>
                  <w:tcMar>
                    <w:left w:w="90" w:type="dxa"/>
                    <w:right w:w="90" w:type="dxa"/>
                  </w:tcMar>
                  <w:vAlign w:val="top"/>
                </w:tcPr>
                <w:p>
                  <w:pPr>
                    <w:spacing w:before="0" w:after="0" w:line="259"/>
                    <w:ind w:right="0" w:left="0" w:firstLine="0"/>
                    <w:jc w:val="both"/>
                    <w:rPr>
                      <w:rFonts w:ascii="Calibri" w:hAnsi="Calibri" w:cs="Calibri" w:eastAsia="Calibri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b/>
                      <w:color w:val="FFFFFF"/>
                      <w:spacing w:val="0"/>
                      <w:position w:val="0"/>
                      <w:sz w:val="28"/>
                      <w:shd w:fill="auto" w:val="clear"/>
                    </w:rPr>
                    <w:t xml:space="preserve">Total Marks: 30</w:t>
                  </w:r>
                </w:p>
              </w:tc>
            </w:tr>
          </w:tbl>
          <w:p>
            <w:pPr>
              <w:tabs>
                <w:tab w:val="center" w:pos="1533" w:leader="none"/>
                <w:tab w:val="center" w:pos="3509" w:leader="none"/>
                <w:tab w:val="right" w:pos="11312" w:leader="none"/>
              </w:tabs>
              <w:spacing w:before="0" w:after="285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ab/>
            </w:r>
            <w:r>
              <w:rPr>
                <w:rFonts w:ascii="Calibri" w:hAnsi="Calibri" w:cs="Calibri" w:eastAsia="Calibri"/>
                <w:b/>
                <w:color w:val="BF0000"/>
                <w:spacing w:val="0"/>
                <w:position w:val="0"/>
                <w:sz w:val="24"/>
                <w:shd w:fill="auto" w:val="clear"/>
              </w:rPr>
              <w:t xml:space="preserve">1.</w:t>
              <w:tab/>
            </w: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Multiple Choice Questions:</w:t>
              <w:tab/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(05)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2667" w:hanging="641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A manicure is a treatment carried out to improve the condition of which of the following: a.</w:t>
              <w:tab/>
              <w:t xml:space="preserve">feet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arms</w:t>
            </w:r>
          </w:p>
          <w:p>
            <w:pPr>
              <w:numPr>
                <w:ilvl w:val="0"/>
                <w:numId w:val="23"/>
              </w:numPr>
              <w:spacing w:before="0" w:after="28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hands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2667" w:hanging="641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Before carrying out the manicure treatment, a consultation is required to assess the condition of the client’s skin, nails, and cuticles so that which of the following occurs?</w:t>
            </w:r>
          </w:p>
          <w:p>
            <w:pPr>
              <w:numPr>
                <w:ilvl w:val="0"/>
                <w:numId w:val="23"/>
              </w:numPr>
              <w:spacing w:before="0" w:after="0" w:line="259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appropriate equipment and products can be chosen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to see the colour of the skin</w:t>
            </w:r>
          </w:p>
          <w:p>
            <w:pPr>
              <w:numPr>
                <w:ilvl w:val="0"/>
                <w:numId w:val="23"/>
              </w:numPr>
              <w:spacing w:before="0" w:after="296" w:line="259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to check if the appropriate products are available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2667" w:hanging="641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If the client does not want nail polish what else can be done to her nails?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apply glittery nail polish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do not apply nail polish</w:t>
            </w:r>
          </w:p>
          <w:p>
            <w:pPr>
              <w:numPr>
                <w:ilvl w:val="0"/>
                <w:numId w:val="23"/>
              </w:numPr>
              <w:spacing w:before="0" w:after="28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buff to shine with a paste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2667" w:hanging="641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The buffing paste is spread using finger tips in: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upward strokes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downward strokes</w:t>
            </w:r>
          </w:p>
          <w:p>
            <w:pPr>
              <w:numPr>
                <w:ilvl w:val="0"/>
                <w:numId w:val="23"/>
              </w:numPr>
              <w:spacing w:before="0" w:after="28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outward strokes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2667" w:hanging="641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While applying buffing paste to the nails, how many strokes per nail should be enough? a.</w:t>
              <w:tab/>
              <w:t xml:space="preserve">two strokes per nail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six strokes per nail</w:t>
            </w:r>
          </w:p>
          <w:p>
            <w:pPr>
              <w:numPr>
                <w:ilvl w:val="0"/>
                <w:numId w:val="23"/>
              </w:numPr>
              <w:spacing w:before="0" w:after="28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twelve strokes per nail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2667" w:hanging="641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Hand massage is carried out: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at the start of manicure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after soaking fingers in soapy water</w:t>
            </w:r>
          </w:p>
          <w:p>
            <w:pPr>
              <w:numPr>
                <w:ilvl w:val="0"/>
                <w:numId w:val="23"/>
              </w:numPr>
              <w:spacing w:before="0" w:after="28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just before applying the nail polish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2667" w:hanging="641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Specialised nail treatment includes which of the following: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two coats of nail polish b</w:t>
            </w:r>
          </w:p>
          <w:p>
            <w:pPr>
              <w:numPr>
                <w:ilvl w:val="0"/>
                <w:numId w:val="23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two base coats</w:t>
            </w:r>
          </w:p>
          <w:p>
            <w:pPr>
              <w:numPr>
                <w:ilvl w:val="0"/>
                <w:numId w:val="23"/>
              </w:numPr>
              <w:spacing w:before="0" w:after="62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a base coat of nail strengthener</w:t>
            </w:r>
          </w:p>
          <w:p>
            <w:pPr>
              <w:spacing w:before="0" w:after="53" w:line="259"/>
              <w:ind w:right="0" w:left="144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tabs>
                <w:tab w:val="center" w:pos="6881" w:leader="none"/>
                <w:tab w:val="center" w:pos="10328" w:leader="none"/>
              </w:tabs>
              <w:spacing w:before="0" w:after="312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ab/>
            </w:r>
            <w:r>
              <w:rPr>
                <w:rFonts w:ascii="Calibri" w:hAnsi="Calibri" w:cs="Calibri" w:eastAsia="Calibri"/>
                <w:b/>
                <w:color w:val="C00000"/>
                <w:spacing w:val="0"/>
                <w:position w:val="0"/>
                <w:sz w:val="24"/>
                <w:shd w:fill="auto" w:val="clear"/>
              </w:rPr>
              <w:t xml:space="preserve">Brentwood Open Learning College</w:t>
              <w:tab/>
              <w:t xml:space="preserve">Page: 1</w:t>
            </w:r>
          </w:p>
          <w:p>
            <w:pPr>
              <w:keepNext w:val="true"/>
              <w:keepLines w:val="true"/>
              <w:tabs>
                <w:tab w:val="center" w:pos="2163" w:leader="none"/>
                <w:tab w:val="center" w:pos="5836" w:leader="none"/>
              </w:tabs>
              <w:spacing w:before="0" w:after="158" w:line="259"/>
              <w:ind w:right="0" w:left="0" w:firstLine="0"/>
              <w:jc w:val="left"/>
              <w:rPr>
                <w:rFonts w:ascii="Calibri" w:hAnsi="Calibri" w:cs="Calibri" w:eastAsia="Calibri"/>
                <w:b/>
                <w:color w:val="C00000"/>
                <w:spacing w:val="0"/>
                <w:position w:val="0"/>
                <w:sz w:val="28"/>
                <w:u w:val="single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u w:val="single"/>
                <w:shd w:fill="auto" w:val="clear"/>
              </w:rPr>
              <w:tab/>
            </w:r>
            <w:r>
              <w:object w:dxaOrig="1886" w:dyaOrig="1030">
                <v:rect xmlns:o="urn:schemas-microsoft-com:office:office" xmlns:v="urn:schemas-microsoft-com:vml" id="rectole0000000002" style="width:94.300000pt;height:51.500000pt" o:preferrelative="t" o:ole="">
                  <o:lock v:ext="edit"/>
                  <v:imagedata xmlns:r="http://schemas.openxmlformats.org/officeDocument/2006/relationships" r:id="docRId5" o:title=""/>
                </v:rect>
                <o:OLEObject xmlns:r="http://schemas.openxmlformats.org/officeDocument/2006/relationships" xmlns:o="urn:schemas-microsoft-com:office:office" Type="Embed" ProgID="StaticMetafile" DrawAspect="Content" ObjectID="0000000002" ShapeID="rectole0000000002" r:id="docRId4"/>
              </w:object>
            </w:r>
            <w:r>
              <w:rPr>
                <w:rFonts w:ascii="Calibri" w:hAnsi="Calibri" w:cs="Calibri" w:eastAsia="Calibri"/>
                <w:b/>
                <w:color w:val="C00000"/>
                <w:spacing w:val="0"/>
                <w:position w:val="0"/>
                <w:sz w:val="28"/>
                <w:u w:val="single"/>
                <w:shd w:fill="auto" w:val="clear"/>
              </w:rPr>
              <w:tab/>
              <w:t xml:space="preserve">Manicure and Pedicure</w:t>
            </w:r>
          </w:p>
          <w:tbl>
            <w:tblPr>
              <w:tblInd w:w="1315" w:type="dxa"/>
            </w:tblPr>
            <w:tblGrid>
              <w:gridCol w:w="7967"/>
              <w:gridCol w:w="1988"/>
            </w:tblGrid>
            <w:tr>
              <w:trPr>
                <w:trHeight w:val="368" w:hRule="auto"/>
                <w:jc w:val="left"/>
              </w:trPr>
              <w:tc>
                <w:tcPr>
                  <w:tcW w:w="7967" w:type="dxa"/>
                  <w:tcBorders>
                    <w:top w:val="single" w:color="836967" w:sz="0"/>
                    <w:left w:val="single" w:color="c00000" w:sz="44"/>
                    <w:bottom w:val="single" w:color="836967" w:sz="0"/>
                    <w:right w:val="single" w:color="c00000" w:sz="43"/>
                  </w:tcBorders>
                  <w:shd w:color="auto" w:fill="c00000" w:val="clear"/>
                  <w:tcMar>
                    <w:left w:w="90" w:type="dxa"/>
                    <w:right w:w="90" w:type="dxa"/>
                  </w:tcMar>
                  <w:vAlign w:val="top"/>
                </w:tcPr>
                <w:p>
                  <w:pPr>
                    <w:spacing w:before="0" w:after="160" w:line="259"/>
                    <w:ind w:right="0" w:left="0" w:firstLine="0"/>
                    <w:jc w:val="left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1988" w:type="dxa"/>
                  <w:tcBorders>
                    <w:top w:val="single" w:color="836967" w:sz="0"/>
                    <w:left w:val="single" w:color="c00000" w:sz="43"/>
                    <w:bottom w:val="single" w:color="c00000" w:sz="28"/>
                    <w:right w:val="single" w:color="c00000" w:sz="42"/>
                  </w:tcBorders>
                  <w:shd w:color="auto" w:fill="c00000" w:val="clear"/>
                  <w:tcMar>
                    <w:left w:w="90" w:type="dxa"/>
                    <w:right w:w="90" w:type="dxa"/>
                  </w:tcMar>
                  <w:vAlign w:val="top"/>
                </w:tcPr>
                <w:p>
                  <w:pPr>
                    <w:spacing w:before="0" w:after="0" w:line="259"/>
                    <w:ind w:right="0" w:left="0" w:firstLine="0"/>
                    <w:jc w:val="both"/>
                    <w:rPr>
                      <w:rFonts w:ascii="Calibri" w:hAnsi="Calibri" w:cs="Calibri" w:eastAsia="Calibri"/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Calibri" w:hAnsi="Calibri" w:cs="Calibri" w:eastAsia="Calibri"/>
                      <w:b/>
                      <w:color w:val="FFFFFF"/>
                      <w:spacing w:val="0"/>
                      <w:position w:val="0"/>
                      <w:sz w:val="28"/>
                      <w:shd w:fill="auto" w:val="clear"/>
                    </w:rPr>
                    <w:t xml:space="preserve">Total Marks: 30</w:t>
                  </w:r>
                </w:p>
              </w:tc>
            </w:tr>
          </w:tbl>
          <w:p>
            <w:pPr>
              <w:numPr>
                <w:ilvl w:val="0"/>
                <w:numId w:val="52"/>
              </w:numPr>
              <w:spacing w:before="0" w:after="0" w:line="262"/>
              <w:ind w:right="0" w:left="2611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The nail polish application is started from:</w:t>
            </w:r>
          </w:p>
          <w:p>
            <w:pPr>
              <w:numPr>
                <w:ilvl w:val="0"/>
                <w:numId w:val="52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index finger</w:t>
            </w:r>
          </w:p>
          <w:p>
            <w:pPr>
              <w:numPr>
                <w:ilvl w:val="0"/>
                <w:numId w:val="52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small finger</w:t>
            </w:r>
          </w:p>
          <w:p>
            <w:pPr>
              <w:numPr>
                <w:ilvl w:val="0"/>
                <w:numId w:val="52"/>
              </w:numPr>
              <w:spacing w:before="0" w:after="11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thumb</w:t>
            </w:r>
          </w:p>
          <w:p>
            <w:pPr>
              <w:numPr>
                <w:ilvl w:val="0"/>
                <w:numId w:val="52"/>
              </w:numPr>
              <w:spacing w:before="0" w:after="0" w:line="259"/>
              <w:ind w:right="0" w:left="2611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In pedicure treatment, abrasive massage cream is applied in circular movements which;</w:t>
            </w:r>
          </w:p>
          <w:p>
            <w:pPr>
              <w:numPr>
                <w:ilvl w:val="0"/>
                <w:numId w:val="52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removes the dead skin</w:t>
            </w:r>
          </w:p>
          <w:p>
            <w:pPr>
              <w:numPr>
                <w:ilvl w:val="0"/>
                <w:numId w:val="52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improves the colour of the skin</w:t>
            </w:r>
          </w:p>
          <w:p>
            <w:pPr>
              <w:numPr>
                <w:ilvl w:val="0"/>
                <w:numId w:val="52"/>
              </w:numPr>
              <w:spacing w:before="0" w:after="282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adds shine to the skin</w:t>
            </w:r>
          </w:p>
          <w:p>
            <w:pPr>
              <w:numPr>
                <w:ilvl w:val="0"/>
                <w:numId w:val="52"/>
              </w:numPr>
              <w:spacing w:before="0" w:after="0" w:line="262"/>
              <w:ind w:right="0" w:left="2611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Paraffin wax when applied to the feet is left to dry for;</w:t>
            </w:r>
          </w:p>
          <w:p>
            <w:pPr>
              <w:numPr>
                <w:ilvl w:val="0"/>
                <w:numId w:val="52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FFFF00" w:val="clear"/>
              </w:rPr>
              <w:t xml:space="preserve">10-15 minutes</w:t>
            </w:r>
          </w:p>
          <w:p>
            <w:pPr>
              <w:numPr>
                <w:ilvl w:val="0"/>
                <w:numId w:val="52"/>
              </w:numPr>
              <w:spacing w:before="0" w:after="0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20-30 minutes</w:t>
            </w:r>
          </w:p>
          <w:p>
            <w:pPr>
              <w:numPr>
                <w:ilvl w:val="0"/>
                <w:numId w:val="52"/>
              </w:numPr>
              <w:spacing w:before="0" w:after="575" w:line="262"/>
              <w:ind w:right="0" w:left="3225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25- 45 minutes</w:t>
            </w:r>
          </w:p>
          <w:p>
            <w:pPr>
              <w:numPr>
                <w:ilvl w:val="0"/>
                <w:numId w:val="52"/>
              </w:numPr>
              <w:spacing w:before="0" w:after="0" w:line="259"/>
              <w:ind w:right="0" w:left="2160" w:hanging="72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0000"/>
                <w:spacing w:val="0"/>
                <w:position w:val="0"/>
                <w:sz w:val="24"/>
                <w:shd w:fill="auto" w:val="clear"/>
              </w:rPr>
              <w:t xml:space="preserve">Short Questions:</w:t>
              <w:tab/>
            </w: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(21)</w:t>
            </w:r>
          </w:p>
          <w:p>
            <w:pPr>
              <w:spacing w:before="0" w:after="280" w:line="262"/>
              <w:ind w:right="0" w:left="2170" w:hanging="1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All Questions carry equal marks.</w:t>
            </w:r>
          </w:p>
          <w:p>
            <w:pPr>
              <w:numPr>
                <w:ilvl w:val="0"/>
                <w:numId w:val="63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Describe the manicure procedure.</w:t>
            </w:r>
          </w:p>
          <w:p>
            <w:pPr>
              <w:numPr>
                <w:ilvl w:val="0"/>
                <w:numId w:val="63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Consultation, check for infection, remove nail polish, file, cuticle massage cream, soak, cuticle work, massage and moisturise, painting or buffing</w:t>
            </w:r>
          </w:p>
          <w:p>
            <w:pPr>
              <w:numPr>
                <w:ilvl w:val="0"/>
                <w:numId w:val="63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Why is it important to assess the condition of the client’s hands and nails before. the manicure treatment commences?</w:t>
            </w:r>
          </w:p>
          <w:p>
            <w:pPr>
              <w:numPr>
                <w:ilvl w:val="0"/>
                <w:numId w:val="63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0" w:line="262"/>
              <w:ind w:right="0" w:left="2206" w:firstLine="0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             To check there is no signs of infection, check the nails are healthy strong 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Why is it important to assess the condition of the client’s foot and nail before the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pedicure treatment is given?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Again this is to check the condition of the foot, check there is no infections i.e. fungal no ingrowing toe nails </w:t>
            </w:r>
          </w:p>
          <w:p>
            <w:pPr>
              <w:numPr>
                <w:ilvl w:val="0"/>
                <w:numId w:val="65"/>
              </w:numPr>
              <w:spacing w:before="0" w:after="48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Why would you give the following treatments: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3691" w:hanging="36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Skin conditioners …..</w:t>
            </w: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To soften the skin add moisture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3691" w:hanging="360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Heat treatments……..</w:t>
            </w: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provides relief from rheumatic and arthritic conditions, also makes the skin soft.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Describe the methods available for removing hard skin from the feet.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Corn planes, callus files, exfoliators, pumice stone, chiropody sponges, and creams.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What are the terms used for the different type of massage movements involved in a foot massage treatment?</w:t>
            </w:r>
          </w:p>
          <w:p>
            <w:pPr>
              <w:numPr>
                <w:ilvl w:val="0"/>
                <w:numId w:val="65"/>
              </w:numPr>
              <w:spacing w:before="0" w:after="0" w:line="262"/>
              <w:ind w:right="0" w:left="2902" w:hanging="696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Effleurage, long stroke, Thumb frictions, finger kneading and stroking.</w:t>
            </w:r>
          </w:p>
          <w:p>
            <w:pPr>
              <w:numPr>
                <w:ilvl w:val="0"/>
                <w:numId w:val="65"/>
              </w:numPr>
              <w:spacing w:before="0" w:after="285" w:line="262"/>
              <w:ind w:right="0" w:left="2902" w:hanging="696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State the benefits of foot and lower leg massage.</w:t>
            </w:r>
          </w:p>
          <w:p>
            <w:pPr>
              <w:spacing w:before="0" w:after="285" w:line="262"/>
              <w:ind w:right="0" w:left="2902" w:firstLine="0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Stimulate blood flow, makes you feel relaxed and calm and the moisturiser makes the skin smoother and softer.</w:t>
            </w:r>
          </w:p>
          <w:p>
            <w:pPr>
              <w:numPr>
                <w:ilvl w:val="0"/>
                <w:numId w:val="71"/>
              </w:numPr>
              <w:spacing w:before="0" w:after="1946" w:line="262"/>
              <w:ind w:right="0" w:left="2160" w:hanging="72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  <w:t xml:space="preserve">Explain the different massage movements used in a manicure treatment.</w:t>
              <w:tab/>
              <w:t xml:space="preserve">(4)</w:t>
            </w:r>
          </w:p>
          <w:p>
            <w:pPr>
              <w:numPr>
                <w:ilvl w:val="0"/>
                <w:numId w:val="71"/>
              </w:numPr>
              <w:spacing w:before="0" w:after="1946" w:line="262"/>
              <w:ind w:right="0" w:left="2160" w:hanging="720"/>
              <w:jc w:val="left"/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B050"/>
                <w:spacing w:val="0"/>
                <w:position w:val="0"/>
                <w:sz w:val="24"/>
                <w:shd w:fill="auto" w:val="clear"/>
              </w:rPr>
              <w:t xml:space="preserve">Effleurage, long sweeping strokes, Kneading (for the forearm), Finger circulations, Wrist circulations </w:t>
            </w:r>
          </w:p>
          <w:p>
            <w:pPr>
              <w:spacing w:before="0" w:after="1946" w:line="262"/>
              <w:ind w:right="0" w:left="216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spacing w:before="0" w:after="53" w:line="259"/>
              <w:ind w:right="0" w:left="144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</w:p>
          <w:p>
            <w:pPr>
              <w:tabs>
                <w:tab w:val="center" w:pos="6881" w:leader="none"/>
                <w:tab w:val="center" w:pos="10328" w:leader="none"/>
              </w:tabs>
              <w:spacing w:before="0" w:after="312" w:line="259"/>
              <w:ind w:right="0" w:left="0" w:firstLine="0"/>
              <w:jc w:val="left"/>
              <w:rPr>
                <w:rFonts w:ascii="Calibri" w:hAnsi="Calibri" w:cs="Calibri" w:eastAsia="Calibri"/>
                <w:color w:val="000000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ab/>
            </w:r>
            <w:r>
              <w:rPr>
                <w:rFonts w:ascii="Calibri" w:hAnsi="Calibri" w:cs="Calibri" w:eastAsia="Calibri"/>
                <w:b/>
                <w:color w:val="C00000"/>
                <w:spacing w:val="0"/>
                <w:position w:val="0"/>
                <w:sz w:val="24"/>
                <w:shd w:fill="auto" w:val="clear"/>
              </w:rPr>
              <w:t xml:space="preserve">Brentwood Open Learning College</w:t>
              <w:tab/>
              <w:t xml:space="preserve">Page: 2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b/>
                <w:color w:val="auto"/>
                <w:spacing w:val="0"/>
                <w:position w:val="0"/>
                <w:sz w:val="22"/>
                <w:shd w:fill="auto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</w:tr>
    </w:tbl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</w:pPr>
      <w:r>
        <w:rPr>
          <w:rFonts w:ascii="Calibri" w:hAnsi="Calibri" w:cs="Calibri" w:eastAsia="Calibri"/>
          <w:b/>
          <w:color w:val="002060"/>
          <w:spacing w:val="0"/>
          <w:position w:val="0"/>
          <w:sz w:val="28"/>
          <w:shd w:fill="auto" w:val="clear"/>
        </w:rPr>
        <w:t xml:space="preserve">Student Statement: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b/>
          <w:color w:val="001AE6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By submitting this assignment, I confirm that this is my own work.</w:t>
      </w: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tbl>
      <w:tblPr/>
      <w:tblGrid>
        <w:gridCol w:w="2310"/>
        <w:gridCol w:w="4035"/>
        <w:gridCol w:w="1276"/>
        <w:gridCol w:w="1621"/>
      </w:tblGrid>
      <w:tr>
        <w:trPr>
          <w:trHeight w:val="1" w:hRule="atLeast"/>
          <w:jc w:val="left"/>
        </w:trPr>
        <w:tc>
          <w:tcPr>
            <w:tcW w:w="2310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Student Signature</w:t>
            </w:r>
          </w:p>
        </w:tc>
        <w:tc>
          <w:tcPr>
            <w:tcW w:w="4035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Michelle Stone</w:t>
            </w:r>
          </w:p>
        </w:tc>
        <w:tc>
          <w:tcPr>
            <w:tcW w:w="1276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Date</w:t>
            </w:r>
          </w:p>
        </w:tc>
        <w:tc>
          <w:tcPr>
            <w:tcW w:w="1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  <w:t xml:space="preserve">19.10.17</w:t>
            </w: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b/>
          <w:color w:val="auto"/>
          <w:spacing w:val="0"/>
          <w:position w:val="0"/>
          <w:sz w:val="32"/>
          <w:shd w:fill="D9D9D9" w:val="clear"/>
        </w:rPr>
      </w:pPr>
      <w:r>
        <w:rPr>
          <w:rFonts w:ascii="Calibri" w:hAnsi="Calibri" w:cs="Calibri" w:eastAsia="Calibri"/>
          <w:b/>
          <w:color w:val="auto"/>
          <w:spacing w:val="0"/>
          <w:position w:val="0"/>
          <w:sz w:val="28"/>
          <w:shd w:fill="D9D9D9" w:val="clear"/>
        </w:rPr>
        <w:t xml:space="preserve">For Tutor / Assessor Use Only</w:t>
      </w:r>
    </w:p>
    <w:tbl>
      <w:tblPr/>
      <w:tblGrid>
        <w:gridCol w:w="4621"/>
        <w:gridCol w:w="4621"/>
      </w:tblGrid>
      <w:tr>
        <w:trPr>
          <w:trHeight w:val="249" w:hRule="auto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Total Marks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Marks Obtained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  <w:tr>
        <w:trPr>
          <w:trHeight w:val="1" w:hRule="atLeast"/>
          <w:jc w:val="left"/>
        </w:trPr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auto" w:fill="d9d9d9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b/>
                <w:color w:val="002060"/>
                <w:spacing w:val="0"/>
                <w:position w:val="0"/>
                <w:sz w:val="22"/>
                <w:shd w:fill="auto" w:val="clear"/>
              </w:rPr>
              <w:t xml:space="preserve">Percentage / Grade</w:t>
            </w:r>
          </w:p>
        </w:tc>
        <w:tc>
          <w:tcPr>
            <w:tcW w:w="4621" w:type="dxa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color w:val="auto"/>
                <w:spacing w:val="0"/>
                <w:position w:val="0"/>
                <w:sz w:val="22"/>
                <w:shd w:fill="auto" w:val="clear"/>
              </w:rPr>
            </w:pPr>
          </w:p>
        </w:tc>
      </w:tr>
    </w:tbl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  <w:p>
      <w:pPr>
        <w:spacing w:before="0" w:after="200" w:line="276"/>
        <w:ind w:right="0" w:left="0" w:firstLine="0"/>
        <w:jc w:val="left"/>
        <w:rPr>
          <w:rFonts w:ascii="Calibri" w:hAnsi="Calibri" w:cs="Calibri" w:eastAsia="Calibri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abstractNum w:abstractNumId="6">
    <w:lvl w:ilvl="0">
      <w:start w:val="1"/>
      <w:numFmt w:val="bullet"/>
      <w:lvlText w:val="•"/>
    </w:lvl>
  </w:abstractNum>
  <w:abstractNum w:abstractNumId="12">
    <w:lvl w:ilvl="0">
      <w:start w:val="1"/>
      <w:numFmt w:val="bullet"/>
      <w:lvlText w:val="•"/>
    </w:lvl>
  </w:abstractNum>
  <w:abstractNum w:abstractNumId="18">
    <w:lvl w:ilvl="0">
      <w:start w:val="1"/>
      <w:numFmt w:val="bullet"/>
      <w:lvlText w:val="•"/>
    </w:lvl>
  </w:abstractNum>
  <w:abstractNum w:abstractNumId="24">
    <w:lvl w:ilvl="0">
      <w:start w:val="1"/>
      <w:numFmt w:val="bullet"/>
      <w:lvlText w:val="•"/>
    </w:lvl>
  </w:abstractNum>
  <w:num w:numId="23">
    <w:abstractNumId w:val="24"/>
  </w:num>
  <w:num w:numId="52">
    <w:abstractNumId w:val="18"/>
  </w:num>
  <w:num w:numId="63">
    <w:abstractNumId w:val="12"/>
  </w:num>
  <w:num w:numId="65">
    <w:abstractNumId w:val="6"/>
  </w:num>
  <w:num w:numId="71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media/image0.wmf" Id="docRId1" Type="http://schemas.openxmlformats.org/officeDocument/2006/relationships/image" /><Relationship Target="media/image1.wmf" Id="docRId3" Type="http://schemas.openxmlformats.org/officeDocument/2006/relationships/image" /><Relationship Target="media/image2.wmf" Id="docRId5" Type="http://schemas.openxmlformats.org/officeDocument/2006/relationships/image" /><Relationship Target="styles.xml" Id="docRId7" Type="http://schemas.openxmlformats.org/officeDocument/2006/relationships/styles" /><Relationship Target="embeddings/oleObject0.bin" Id="docRId0" Type="http://schemas.openxmlformats.org/officeDocument/2006/relationships/oleObject" /><Relationship Target="embeddings/oleObject1.bin" Id="docRId2" Type="http://schemas.openxmlformats.org/officeDocument/2006/relationships/oleObject" /><Relationship Target="embeddings/oleObject2.bin" Id="docRId4" Type="http://schemas.openxmlformats.org/officeDocument/2006/relationships/oleObject" /><Relationship Target="numbering.xml" Id="docRId6" Type="http://schemas.openxmlformats.org/officeDocument/2006/relationships/numbering" /></Relationships>
</file>