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B599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7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B59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Deon Anthony Denton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B599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E5E95">
            <w: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0"/>
      </w:tblGrid>
      <w:tr w:rsidR="00CC2FB3" w:rsidTr="00CC2FB3">
        <w:tc>
          <w:tcPr>
            <w:tcW w:w="9242" w:type="dxa"/>
          </w:tcPr>
          <w:p w:rsidR="00CC2FB3" w:rsidRPr="00B92CD7" w:rsidRDefault="00CC2FB3" w:rsidP="00A851DA">
            <w:pPr>
              <w:rPr>
                <w:rFonts w:ascii="Arial" w:hAnsi="Arial" w:cs="Arial"/>
                <w:sz w:val="20"/>
                <w:szCs w:val="24"/>
              </w:rPr>
            </w:pPr>
          </w:p>
          <w:p w:rsidR="00CC2FB3" w:rsidRPr="00B92CD7" w:rsidRDefault="00CC2FB3" w:rsidP="00A851DA">
            <w:pPr>
              <w:rPr>
                <w:b/>
                <w:sz w:val="20"/>
              </w:rPr>
            </w:pPr>
          </w:p>
          <w:p w:rsidR="00B92CD7" w:rsidRPr="00B92CD7" w:rsidRDefault="00B92CD7" w:rsidP="00B92CD7">
            <w:pPr>
              <w:rPr>
                <w:rFonts w:ascii="Arial" w:hAnsi="Arial" w:cs="Arial"/>
                <w:b/>
                <w:sz w:val="20"/>
                <w:szCs w:val="24"/>
              </w:rPr>
            </w:pPr>
            <w:r w:rsidRPr="00B92CD7">
              <w:rPr>
                <w:rFonts w:ascii="Arial" w:hAnsi="Arial" w:cs="Arial"/>
                <w:b/>
                <w:sz w:val="20"/>
                <w:szCs w:val="24"/>
              </w:rPr>
              <w:t xml:space="preserve">Give short answers for the following questions: </w:t>
            </w:r>
          </w:p>
          <w:p w:rsidR="00B92CD7" w:rsidRPr="00B92CD7" w:rsidRDefault="00B92CD7" w:rsidP="00B92CD7">
            <w:pPr>
              <w:rPr>
                <w:rFonts w:ascii="Arial" w:hAnsi="Arial" w:cs="Arial"/>
                <w:sz w:val="20"/>
                <w:szCs w:val="24"/>
              </w:rPr>
            </w:pP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b/>
                <w:sz w:val="20"/>
                <w:szCs w:val="24"/>
              </w:rPr>
            </w:pPr>
            <w:r w:rsidRPr="00B92CD7">
              <w:rPr>
                <w:rFonts w:ascii="Arial" w:hAnsi="Arial" w:cs="Arial"/>
                <w:b/>
                <w:sz w:val="20"/>
                <w:szCs w:val="24"/>
              </w:rPr>
              <w:t xml:space="preserve">Outline the factors on which fraud risk assessment depends. </w:t>
            </w:r>
          </w:p>
          <w:p w:rsidR="00B92CD7" w:rsidRPr="00B92CD7" w:rsidRDefault="00B92CD7" w:rsidP="00B92CD7">
            <w:pPr>
              <w:spacing w:line="360" w:lineRule="auto"/>
              <w:jc w:val="both"/>
              <w:rPr>
                <w:rFonts w:ascii="Arial" w:eastAsia="Times New Roman" w:hAnsi="Arial" w:cs="Arial"/>
                <w:color w:val="666666"/>
                <w:sz w:val="20"/>
                <w:szCs w:val="24"/>
              </w:rPr>
            </w:pPr>
            <w:r w:rsidRPr="00B92CD7">
              <w:rPr>
                <w:sz w:val="20"/>
              </w:rPr>
              <w:t xml:space="preserve">              </w:t>
            </w:r>
            <w:r w:rsidRPr="00B92CD7">
              <w:rPr>
                <w:rFonts w:ascii="Arial" w:eastAsia="Times New Roman" w:hAnsi="Arial" w:cs="Arial"/>
                <w:color w:val="666666"/>
                <w:sz w:val="20"/>
                <w:szCs w:val="24"/>
              </w:rPr>
              <w:t>Fraud generally occurs when three conditions are present:</w:t>
            </w:r>
          </w:p>
          <w:p w:rsidR="00B92CD7" w:rsidRPr="00B92CD7" w:rsidRDefault="00B92CD7" w:rsidP="00B92CD7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color w:val="666666"/>
                <w:sz w:val="20"/>
                <w:szCs w:val="24"/>
              </w:rPr>
            </w:pPr>
            <w:r w:rsidRPr="00B92CD7">
              <w:rPr>
                <w:rFonts w:ascii="Arial" w:eastAsia="Times New Roman" w:hAnsi="Arial" w:cs="Arial"/>
                <w:color w:val="666666"/>
                <w:sz w:val="20"/>
                <w:szCs w:val="24"/>
              </w:rPr>
              <w:t>Management or employees have an incentive or are under pressure.</w:t>
            </w:r>
          </w:p>
          <w:p w:rsidR="00B92CD7" w:rsidRPr="00B92CD7" w:rsidRDefault="00B92CD7" w:rsidP="00B92CD7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color w:val="666666"/>
                <w:sz w:val="20"/>
                <w:szCs w:val="24"/>
              </w:rPr>
            </w:pPr>
            <w:r w:rsidRPr="00B92CD7">
              <w:rPr>
                <w:rFonts w:ascii="Arial" w:eastAsia="Times New Roman" w:hAnsi="Arial" w:cs="Arial"/>
                <w:color w:val="666666"/>
                <w:sz w:val="20"/>
                <w:szCs w:val="24"/>
              </w:rPr>
              <w:t>Circumstances exist which provide an opportunity for fraud to be perpetrated.</w:t>
            </w:r>
          </w:p>
          <w:p w:rsidR="00B92CD7" w:rsidRPr="00B92CD7" w:rsidRDefault="00B92CD7" w:rsidP="00B92CD7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color w:val="666666"/>
                <w:sz w:val="20"/>
                <w:szCs w:val="24"/>
              </w:rPr>
            </w:pPr>
            <w:r w:rsidRPr="00B92CD7">
              <w:rPr>
                <w:rFonts w:ascii="Arial" w:eastAsia="Times New Roman" w:hAnsi="Arial" w:cs="Arial"/>
                <w:color w:val="666666"/>
                <w:sz w:val="20"/>
                <w:szCs w:val="24"/>
              </w:rPr>
              <w:t>Individuals involved are able to rationalize committing a fraudulent act.</w:t>
            </w:r>
          </w:p>
          <w:p w:rsidR="00B92CD7" w:rsidRPr="00B92CD7" w:rsidRDefault="00B92CD7" w:rsidP="00B92CD7">
            <w:pPr>
              <w:shd w:val="clear" w:color="auto" w:fill="FFFFFF"/>
              <w:spacing w:after="225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eastAsia="Times New Roman" w:hAnsi="Arial" w:cs="Arial"/>
                <w:color w:val="666666"/>
                <w:sz w:val="20"/>
                <w:szCs w:val="24"/>
              </w:rPr>
              <w:t> 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2"/>
              </w:numPr>
              <w:spacing w:after="160" w:line="360" w:lineRule="auto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B92CD7">
              <w:rPr>
                <w:rFonts w:ascii="Arial" w:hAnsi="Arial" w:cs="Arial"/>
                <w:b/>
                <w:sz w:val="20"/>
                <w:szCs w:val="24"/>
              </w:rPr>
              <w:t xml:space="preserve">What are the main concepts about risk assessment? </w:t>
            </w:r>
          </w:p>
          <w:p w:rsidR="00B92CD7" w:rsidRPr="00B92CD7" w:rsidRDefault="00B92CD7" w:rsidP="00B92CD7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B92CD7" w:rsidRPr="00B92CD7" w:rsidRDefault="00B92CD7" w:rsidP="00B92CD7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>The main concepts about risk management are:</w:t>
            </w:r>
          </w:p>
          <w:p w:rsidR="00B92CD7" w:rsidRPr="00B92CD7" w:rsidRDefault="00B92CD7" w:rsidP="00B92C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            Improve communication and awareness about fraud, identify what activities are </w:t>
            </w:r>
          </w:p>
          <w:p w:rsidR="00B92CD7" w:rsidRPr="00B92CD7" w:rsidRDefault="00B92CD7" w:rsidP="00B92C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            the most vulnerable to fraud, know who puts the organization at the greatest risk, </w:t>
            </w:r>
          </w:p>
          <w:p w:rsidR="00B92CD7" w:rsidRPr="00B92CD7" w:rsidRDefault="00B92CD7" w:rsidP="00B92C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           develop plans to mitigate fraud risk, develop techniques to determine if fraud has     </w:t>
            </w:r>
          </w:p>
          <w:p w:rsidR="00B92CD7" w:rsidRPr="00B92CD7" w:rsidRDefault="00B92CD7" w:rsidP="00B92C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           occurred in high-risk areas, assess internal controls and comply with regulations </w:t>
            </w:r>
          </w:p>
          <w:p w:rsidR="00B92CD7" w:rsidRPr="00B92CD7" w:rsidRDefault="00B92CD7" w:rsidP="00B92C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           </w:t>
            </w:r>
            <w:proofErr w:type="gramStart"/>
            <w:r w:rsidRPr="00B92CD7">
              <w:rPr>
                <w:rFonts w:ascii="Arial" w:hAnsi="Arial" w:cs="Arial"/>
                <w:sz w:val="20"/>
                <w:szCs w:val="24"/>
              </w:rPr>
              <w:t>and</w:t>
            </w:r>
            <w:proofErr w:type="gramEnd"/>
            <w:r w:rsidRPr="00B92CD7">
              <w:rPr>
                <w:rFonts w:ascii="Arial" w:hAnsi="Arial" w:cs="Arial"/>
                <w:sz w:val="20"/>
                <w:szCs w:val="24"/>
              </w:rPr>
              <w:t xml:space="preserve"> professional standards.</w:t>
            </w:r>
          </w:p>
          <w:p w:rsidR="00B92CD7" w:rsidRPr="00B92CD7" w:rsidRDefault="00B92CD7" w:rsidP="00B92CD7">
            <w:pPr>
              <w:pStyle w:val="ListParagraph"/>
              <w:spacing w:line="360" w:lineRule="auto"/>
              <w:ind w:left="765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2"/>
              </w:numPr>
              <w:spacing w:after="160" w:line="360" w:lineRule="auto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B92CD7">
              <w:rPr>
                <w:rFonts w:ascii="Arial" w:hAnsi="Arial" w:cs="Arial"/>
                <w:b/>
                <w:sz w:val="20"/>
                <w:szCs w:val="24"/>
              </w:rPr>
              <w:t>What are the internal factors that should be considered for fraud risk assessment?</w:t>
            </w:r>
          </w:p>
          <w:p w:rsidR="00B92CD7" w:rsidRPr="00B92CD7" w:rsidRDefault="00B92CD7" w:rsidP="00B92CD7">
            <w:pPr>
              <w:spacing w:line="360" w:lineRule="auto"/>
              <w:ind w:left="765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>Internal factors which should be considered for risk assessment are;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Process aimed at proactively identifying and addressing an organization’s vulnerabilities to internal and external fraud. 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>The objective of a fraud risk assessment is to help an organization identify what makes it most vulnerable to fraud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>nature of the business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the environment in which the business operates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the effectiveness of organization’s internal control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gramStart"/>
            <w:r w:rsidRPr="00B92CD7">
              <w:rPr>
                <w:rFonts w:ascii="Arial" w:hAnsi="Arial" w:cs="Arial"/>
                <w:sz w:val="20"/>
                <w:szCs w:val="24"/>
              </w:rPr>
              <w:t>the</w:t>
            </w:r>
            <w:proofErr w:type="gramEnd"/>
            <w:r w:rsidRPr="00B92CD7">
              <w:rPr>
                <w:rFonts w:ascii="Arial" w:hAnsi="Arial" w:cs="Arial"/>
                <w:sz w:val="20"/>
                <w:szCs w:val="24"/>
              </w:rPr>
              <w:t xml:space="preserve"> ethics and values of the company and its employees.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>the fraud risk assessment process should be visible and communicated throughout the business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>openly promote the process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the more personalized the communication the more effective it will be</w:t>
            </w:r>
          </w:p>
          <w:p w:rsidR="00B92CD7" w:rsidRPr="00B92CD7" w:rsidRDefault="00B92CD7" w:rsidP="00B92CD7">
            <w:pPr>
              <w:pStyle w:val="ListParagraph"/>
              <w:numPr>
                <w:ilvl w:val="0"/>
                <w:numId w:val="3"/>
              </w:numPr>
              <w:spacing w:after="160" w:line="36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</w:t>
            </w:r>
            <w:proofErr w:type="gramStart"/>
            <w:r w:rsidRPr="00B92CD7">
              <w:rPr>
                <w:rFonts w:ascii="Arial" w:hAnsi="Arial" w:cs="Arial"/>
                <w:sz w:val="20"/>
                <w:szCs w:val="24"/>
              </w:rPr>
              <w:t>aim</w:t>
            </w:r>
            <w:proofErr w:type="gramEnd"/>
            <w:r w:rsidRPr="00B92CD7">
              <w:rPr>
                <w:rFonts w:ascii="Arial" w:hAnsi="Arial" w:cs="Arial"/>
                <w:sz w:val="20"/>
                <w:szCs w:val="24"/>
              </w:rPr>
              <w:t xml:space="preserve"> toward eliminating reluctance to participate.</w:t>
            </w:r>
          </w:p>
          <w:p w:rsidR="00B92CD7" w:rsidRPr="00B92CD7" w:rsidRDefault="00B92CD7" w:rsidP="00B92CD7">
            <w:pPr>
              <w:pStyle w:val="ListParagraph"/>
              <w:spacing w:line="360" w:lineRule="auto"/>
              <w:ind w:left="1125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B92CD7" w:rsidRPr="00B92CD7" w:rsidRDefault="00B92CD7" w:rsidP="00B92CD7">
            <w:pPr>
              <w:spacing w:line="360" w:lineRule="auto"/>
              <w:ind w:left="45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sz w:val="20"/>
                <w:szCs w:val="24"/>
              </w:rPr>
              <w:t xml:space="preserve">          iv</w:t>
            </w:r>
            <w:r w:rsidRPr="00B92CD7">
              <w:rPr>
                <w:rFonts w:ascii="Arial" w:hAnsi="Arial" w:cs="Arial"/>
                <w:b/>
                <w:sz w:val="20"/>
                <w:szCs w:val="24"/>
              </w:rPr>
              <w:t>. What is ‘inherent risk’?</w:t>
            </w:r>
            <w:r w:rsidRPr="00B92CD7">
              <w:rPr>
                <w:rFonts w:ascii="Arial" w:hAnsi="Arial" w:cs="Arial"/>
                <w:sz w:val="20"/>
                <w:szCs w:val="24"/>
              </w:rPr>
              <w:t xml:space="preserve"> </w:t>
            </w:r>
          </w:p>
          <w:p w:rsidR="00B92CD7" w:rsidRPr="00B92CD7" w:rsidRDefault="00B92CD7" w:rsidP="00B92CD7">
            <w:pPr>
              <w:pStyle w:val="ListParagraph"/>
              <w:spacing w:line="360" w:lineRule="auto"/>
              <w:ind w:left="765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B92CD7">
              <w:rPr>
                <w:rFonts w:ascii="Arial" w:hAnsi="Arial" w:cs="Arial"/>
                <w:bCs/>
                <w:color w:val="222222"/>
                <w:sz w:val="20"/>
                <w:szCs w:val="24"/>
                <w:shd w:val="clear" w:color="auto" w:fill="FFFFFF"/>
              </w:rPr>
              <w:t>Inherent risk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is the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bCs/>
                <w:color w:val="222222"/>
                <w:sz w:val="20"/>
                <w:szCs w:val="24"/>
                <w:shd w:val="clear" w:color="auto" w:fill="FFFFFF"/>
              </w:rPr>
              <w:t>risk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posed by an error or omission in a financial statement due to factors other than a failure of control. In a financial audit,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b/>
                <w:bCs/>
                <w:color w:val="222222"/>
                <w:sz w:val="20"/>
                <w:szCs w:val="24"/>
                <w:shd w:val="clear" w:color="auto" w:fill="FFFFFF"/>
              </w:rPr>
              <w:t>inherent risk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zCs w:val="24"/>
                <w:shd w:val="clear" w:color="auto" w:fill="FFFFFF"/>
              </w:rPr>
              <w:t>is most likely to occur when transactions are complex, or in situations which require a high degree of judgment in regards to financial estimates (</w:t>
            </w:r>
            <w:r w:rsidRPr="00B92CD7">
              <w:rPr>
                <w:rFonts w:ascii="Arial" w:hAnsi="Arial" w:cs="Arial"/>
                <w:color w:val="006621"/>
                <w:sz w:val="20"/>
                <w:szCs w:val="24"/>
                <w:shd w:val="clear" w:color="auto" w:fill="FFFFFF"/>
              </w:rPr>
              <w:t>www.investopedia.com).</w:t>
            </w:r>
          </w:p>
          <w:p w:rsidR="00B92CD7" w:rsidRPr="00B92CD7" w:rsidRDefault="00B92CD7" w:rsidP="00B92CD7">
            <w:pPr>
              <w:pStyle w:val="ListParagraph"/>
              <w:spacing w:line="360" w:lineRule="auto"/>
              <w:ind w:left="765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:rsidR="00B92CD7" w:rsidRPr="00B92CD7" w:rsidRDefault="00B92CD7" w:rsidP="00B92CD7">
            <w:pPr>
              <w:pStyle w:val="ListParagraph"/>
              <w:spacing w:line="360" w:lineRule="auto"/>
              <w:ind w:left="765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B92CD7">
              <w:rPr>
                <w:rFonts w:ascii="Arial" w:hAnsi="Arial" w:cs="Arial"/>
                <w:b/>
                <w:sz w:val="20"/>
                <w:szCs w:val="24"/>
              </w:rPr>
              <w:t xml:space="preserve">v. Define the term ‘residual risk’. </w:t>
            </w:r>
          </w:p>
          <w:p w:rsidR="00B92CD7" w:rsidRPr="00B92CD7" w:rsidRDefault="00B92CD7" w:rsidP="00B92CD7">
            <w:pPr>
              <w:pStyle w:val="NormalWeb"/>
              <w:shd w:val="clear" w:color="auto" w:fill="FFFFFF"/>
              <w:spacing w:before="120" w:after="120" w:line="360" w:lineRule="auto"/>
              <w:jc w:val="both"/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           The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bCs/>
                <w:color w:val="222222"/>
                <w:sz w:val="20"/>
                <w:shd w:val="clear" w:color="auto" w:fill="FFFFFF"/>
              </w:rPr>
              <w:t>residual risk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is the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sz w:val="20"/>
                <w:shd w:val="clear" w:color="auto" w:fill="FFFFFF"/>
              </w:rPr>
              <w:t>risk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or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sz w:val="20"/>
                <w:shd w:val="clear" w:color="auto" w:fill="FFFFFF"/>
              </w:rPr>
              <w:t>danger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of an action or an event, a method or a </w:t>
            </w:r>
          </w:p>
          <w:p w:rsidR="00B92CD7" w:rsidRPr="00B92CD7" w:rsidRDefault="00B92CD7" w:rsidP="00B92CD7">
            <w:pPr>
              <w:pStyle w:val="NormalWeb"/>
              <w:shd w:val="clear" w:color="auto" w:fill="FFFFFF"/>
              <w:spacing w:before="120" w:after="120" w:line="360" w:lineRule="auto"/>
              <w:jc w:val="both"/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           (technical) process that, although being abreast with science, still conceives these </w:t>
            </w:r>
          </w:p>
          <w:p w:rsidR="00B92CD7" w:rsidRPr="00B92CD7" w:rsidRDefault="00B92CD7" w:rsidP="00B92CD7">
            <w:pPr>
              <w:pStyle w:val="NormalWeb"/>
              <w:shd w:val="clear" w:color="auto" w:fill="FFFFFF"/>
              <w:spacing w:before="120" w:after="120" w:line="360" w:lineRule="auto"/>
              <w:jc w:val="both"/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           dangers, even if all theoretically possible safety measures would be applied </w:t>
            </w:r>
          </w:p>
          <w:p w:rsidR="00B92CD7" w:rsidRPr="00B92CD7" w:rsidRDefault="00B92CD7" w:rsidP="00B92CD7">
            <w:pPr>
              <w:pStyle w:val="NormalWeb"/>
              <w:shd w:val="clear" w:color="auto" w:fill="FFFFFF"/>
              <w:spacing w:before="120" w:after="120" w:line="360" w:lineRule="auto"/>
              <w:jc w:val="both"/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           (scientifically conceivable measures); in other words, the amount of risk left over</w:t>
            </w:r>
          </w:p>
          <w:p w:rsidR="00B92CD7" w:rsidRPr="00B92CD7" w:rsidRDefault="00B92CD7" w:rsidP="00B92CD7">
            <w:pPr>
              <w:pStyle w:val="NormalWeb"/>
              <w:shd w:val="clear" w:color="auto" w:fill="FFFFFF"/>
              <w:spacing w:before="120" w:after="120" w:line="360" w:lineRule="auto"/>
              <w:jc w:val="both"/>
              <w:rPr>
                <w:rFonts w:ascii="Arial" w:hAnsi="Arial" w:cs="Arial"/>
                <w:color w:val="222222"/>
                <w:sz w:val="20"/>
                <w:shd w:val="clear" w:color="auto" w:fill="FFFFFF"/>
              </w:rPr>
            </w:pP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           after natural or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sz w:val="20"/>
                <w:shd w:val="clear" w:color="auto" w:fill="FFFFFF"/>
              </w:rPr>
              <w:t>inherent risks</w:t>
            </w:r>
            <w:r w:rsidRPr="00B92CD7">
              <w:rPr>
                <w:rStyle w:val="apple-converted-space"/>
                <w:rFonts w:ascii="Arial" w:hAnsi="Arial" w:cs="Arial"/>
                <w:color w:val="222222"/>
                <w:sz w:val="20"/>
                <w:shd w:val="clear" w:color="auto" w:fill="FFFFFF"/>
              </w:rPr>
              <w:t> </w:t>
            </w: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have been reduced by risk controls </w:t>
            </w:r>
          </w:p>
          <w:p w:rsidR="00B92CD7" w:rsidRPr="00B92CD7" w:rsidRDefault="00B92CD7" w:rsidP="00B92CD7">
            <w:pPr>
              <w:pStyle w:val="NormalWeb"/>
              <w:shd w:val="clear" w:color="auto" w:fill="FFFFFF"/>
              <w:spacing w:before="120" w:after="120" w:line="360" w:lineRule="auto"/>
              <w:jc w:val="both"/>
              <w:rPr>
                <w:rFonts w:ascii="Arial" w:eastAsia="Times New Roman" w:hAnsi="Arial" w:cs="Arial"/>
                <w:color w:val="222222"/>
                <w:sz w:val="20"/>
              </w:rPr>
            </w:pP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 xml:space="preserve">           (</w:t>
            </w:r>
            <w:r w:rsidRPr="00B92CD7">
              <w:rPr>
                <w:rFonts w:ascii="Arial" w:hAnsi="Arial" w:cs="Arial"/>
                <w:b/>
                <w:color w:val="222222"/>
                <w:sz w:val="20"/>
                <w:shd w:val="clear" w:color="auto" w:fill="FFFFFF"/>
              </w:rPr>
              <w:t>www.wikipedia.org</w:t>
            </w:r>
            <w:r w:rsidRPr="00B92CD7">
              <w:rPr>
                <w:rFonts w:ascii="Arial" w:hAnsi="Arial" w:cs="Arial"/>
                <w:color w:val="222222"/>
                <w:sz w:val="20"/>
                <w:shd w:val="clear" w:color="auto" w:fill="FFFFFF"/>
              </w:rPr>
              <w:t>).</w:t>
            </w:r>
          </w:p>
          <w:p w:rsidR="00B92CD7" w:rsidRPr="00B92CD7" w:rsidRDefault="00B92CD7" w:rsidP="00B92CD7">
            <w:pPr>
              <w:shd w:val="clear" w:color="auto" w:fill="FFFFFF"/>
              <w:spacing w:after="24" w:line="360" w:lineRule="auto"/>
              <w:ind w:left="720"/>
              <w:jc w:val="both"/>
              <w:rPr>
                <w:rFonts w:ascii="Arial" w:eastAsia="Times New Roman" w:hAnsi="Arial" w:cs="Arial"/>
                <w:color w:val="222222"/>
                <w:sz w:val="20"/>
                <w:szCs w:val="24"/>
              </w:rPr>
            </w:pPr>
            <w:r w:rsidRPr="00B92CD7">
              <w:rPr>
                <w:rFonts w:ascii="Arial" w:eastAsia="Times New Roman" w:hAnsi="Arial" w:cs="Arial"/>
                <w:vanish/>
                <w:color w:val="222222"/>
                <w:sz w:val="20"/>
                <w:szCs w:val="24"/>
              </w:rPr>
              <w:t>{\displaystyle {\text{residual risk}}=({\text{inherent risk}})-({\text{impact of risk controls}})}</w:t>
            </w:r>
          </w:p>
          <w:p w:rsidR="00B92CD7" w:rsidRPr="00B92CD7" w:rsidRDefault="00B92CD7" w:rsidP="00B92CD7">
            <w:pPr>
              <w:pStyle w:val="ListParagraph"/>
              <w:ind w:left="765"/>
              <w:jc w:val="both"/>
              <w:rPr>
                <w:rFonts w:ascii="Arial" w:hAnsi="Arial" w:cs="Arial"/>
                <w:b/>
                <w:sz w:val="20"/>
                <w:szCs w:val="24"/>
              </w:rPr>
            </w:pPr>
            <w:r w:rsidRPr="00B92CD7">
              <w:rPr>
                <w:rFonts w:ascii="Arial" w:hAnsi="Arial" w:cs="Arial"/>
                <w:b/>
                <w:sz w:val="20"/>
                <w:szCs w:val="24"/>
              </w:rPr>
              <w:t>2. Prepare a fraud - risk assessment check list for any business of your choice</w:t>
            </w:r>
          </w:p>
          <w:p w:rsidR="00B92CD7" w:rsidRPr="00B92CD7" w:rsidRDefault="00B92CD7" w:rsidP="00A851DA">
            <w:pPr>
              <w:rPr>
                <w:b/>
                <w:sz w:val="20"/>
              </w:rPr>
            </w:pPr>
          </w:p>
          <w:p w:rsidR="00CC2FB3" w:rsidRPr="00B92CD7" w:rsidRDefault="004B2DCD" w:rsidP="00A851D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See fraud checklist below</w:t>
            </w:r>
          </w:p>
          <w:p w:rsidR="00CC2FB3" w:rsidRPr="00B92CD7" w:rsidRDefault="00CC2FB3" w:rsidP="00A851DA">
            <w:pPr>
              <w:rPr>
                <w:b/>
                <w:sz w:val="20"/>
              </w:rPr>
            </w:pPr>
          </w:p>
          <w:p w:rsidR="00CC2FB3" w:rsidRPr="00B92CD7" w:rsidRDefault="00CC2FB3" w:rsidP="00A851DA">
            <w:pPr>
              <w:rPr>
                <w:b/>
                <w:sz w:val="20"/>
              </w:rPr>
            </w:pPr>
          </w:p>
          <w:p w:rsidR="00CC2FB3" w:rsidRPr="00B92CD7" w:rsidRDefault="00CC2FB3" w:rsidP="00A851DA">
            <w:pPr>
              <w:rPr>
                <w:b/>
                <w:sz w:val="20"/>
              </w:rPr>
            </w:pPr>
          </w:p>
          <w:p w:rsidR="00CC2FB3" w:rsidRPr="00B92CD7" w:rsidRDefault="00CC2FB3" w:rsidP="00A851DA">
            <w:pPr>
              <w:rPr>
                <w:b/>
                <w:sz w:val="20"/>
              </w:rPr>
            </w:pPr>
          </w:p>
          <w:p w:rsidR="00CC2FB3" w:rsidRPr="00B92CD7" w:rsidRDefault="00CC2FB3" w:rsidP="00A851DA">
            <w:pPr>
              <w:rPr>
                <w:b/>
                <w:sz w:val="20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3"/>
        <w:gridCol w:w="3890"/>
        <w:gridCol w:w="1247"/>
        <w:gridCol w:w="1600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E5E95" w:rsidP="00A851DA">
            <w:pPr>
              <w:rPr>
                <w:rFonts w:cs="Bliss-Regular"/>
                <w:color w:val="000000"/>
              </w:rPr>
            </w:pPr>
            <w:r w:rsidRPr="00CE5E95">
              <w:rPr>
                <w:rFonts w:cs="Bliss-Regular"/>
                <w:color w:val="000000"/>
              </w:rPr>
              <w:t>Deon Denton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E5E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4/27/2017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478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B92CD7" w:rsidRDefault="00B92CD7" w:rsidP="00503D7E">
      <w:pPr>
        <w:rPr>
          <w:rFonts w:cs="Times New Roman"/>
          <w:sz w:val="24"/>
          <w:szCs w:val="32"/>
        </w:rPr>
      </w:pPr>
    </w:p>
    <w:p w:rsidR="00B92CD7" w:rsidRPr="00B92CD7" w:rsidRDefault="00B92CD7" w:rsidP="00B92CD7">
      <w:pPr>
        <w:rPr>
          <w:rFonts w:cs="Times New Roman"/>
          <w:sz w:val="24"/>
          <w:szCs w:val="32"/>
        </w:rPr>
      </w:pPr>
    </w:p>
    <w:p w:rsidR="00B92CD7" w:rsidRPr="00B92CD7" w:rsidRDefault="00B92CD7" w:rsidP="00B92CD7">
      <w:pPr>
        <w:rPr>
          <w:rFonts w:cs="Times New Roman"/>
          <w:sz w:val="24"/>
          <w:szCs w:val="32"/>
        </w:rPr>
      </w:pPr>
    </w:p>
    <w:p w:rsidR="00B92CD7" w:rsidRPr="00B92CD7" w:rsidRDefault="00B92CD7" w:rsidP="00B92CD7">
      <w:pPr>
        <w:rPr>
          <w:rFonts w:cs="Times New Roman"/>
          <w:sz w:val="24"/>
          <w:szCs w:val="32"/>
        </w:rPr>
      </w:pPr>
    </w:p>
    <w:p w:rsidR="00B92CD7" w:rsidRPr="00B92CD7" w:rsidRDefault="00B92CD7" w:rsidP="00B92CD7">
      <w:pPr>
        <w:rPr>
          <w:rFonts w:cs="Times New Roman"/>
          <w:sz w:val="24"/>
          <w:szCs w:val="32"/>
        </w:rPr>
      </w:pPr>
    </w:p>
    <w:p w:rsidR="00B92CD7" w:rsidRPr="00B92CD7" w:rsidRDefault="00BE226E" w:rsidP="00BE226E">
      <w:pPr>
        <w:tabs>
          <w:tab w:val="left" w:pos="3210"/>
          <w:tab w:val="left" w:pos="3675"/>
        </w:tabs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lastRenderedPageBreak/>
        <w:tab/>
      </w:r>
      <w:r>
        <w:rPr>
          <w:rFonts w:cs="Times New Roman"/>
          <w:sz w:val="24"/>
          <w:szCs w:val="32"/>
        </w:rPr>
        <w:tab/>
      </w:r>
    </w:p>
    <w:p w:rsidR="00B92CD7" w:rsidRDefault="004B2DCD" w:rsidP="00B92CD7">
      <w:pPr>
        <w:rPr>
          <w:rFonts w:cs="Times New Roman"/>
          <w:sz w:val="24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71C3C4" wp14:editId="676FFE35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5689600" cy="8331200"/>
                <wp:effectExtent l="0" t="0" r="0" b="508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0" cy="833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E226E" w:rsidRPr="00BE226E" w:rsidRDefault="00BE226E" w:rsidP="00BE226E">
                            <w:pPr>
                              <w:spacing w:after="0" w:line="328" w:lineRule="exact"/>
                              <w:ind w:left="2921"/>
                              <w:jc w:val="center"/>
                              <w:rPr>
                                <w:noProof/>
                                <w:sz w:val="3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226E">
                              <w:rPr>
                                <w:noProof/>
                                <w:sz w:val="3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 Healthcare Company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71C3C4"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7" type="#_x0000_t202" style="position:absolute;margin-left:0;margin-top:9.3pt;width:448pt;height:656pt;z-index:251668480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" filled="f" stroked="f">
                <v:textbox style="mso-fit-shape-to-text:t">
                  <w:txbxContent>
                    <w:p w:rsidR="00BE226E" w:rsidRPr="00BE226E" w:rsidRDefault="00BE226E" w:rsidP="00BE226E">
                      <w:pPr>
                        <w:spacing w:after="0" w:line="328" w:lineRule="exact"/>
                        <w:ind w:left="2921"/>
                        <w:jc w:val="center"/>
                        <w:rPr>
                          <w:noProof/>
                          <w:sz w:val="3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226E">
                        <w:rPr>
                          <w:noProof/>
                          <w:sz w:val="3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 Healthcare Company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30AB" w:rsidRDefault="00EA30AB" w:rsidP="00B92CD7">
      <w:pPr>
        <w:ind w:firstLine="720"/>
        <w:rPr>
          <w:rFonts w:cs="Times New Roman"/>
          <w:sz w:val="24"/>
          <w:szCs w:val="32"/>
        </w:rPr>
      </w:pPr>
    </w:p>
    <w:p w:rsidR="00BE226E" w:rsidRDefault="00BE226E" w:rsidP="00BE226E">
      <w:pPr>
        <w:spacing w:after="0" w:line="240" w:lineRule="exact"/>
      </w:pPr>
    </w:p>
    <w:p w:rsidR="00BE226E" w:rsidRDefault="00BE226E" w:rsidP="00BE226E">
      <w:pPr>
        <w:spacing w:after="0" w:line="240" w:lineRule="exact"/>
      </w:pPr>
    </w:p>
    <w:p w:rsidR="00BE226E" w:rsidRDefault="00BE226E" w:rsidP="00BE226E">
      <w:pPr>
        <w:spacing w:after="0" w:line="240" w:lineRule="exact"/>
      </w:pPr>
    </w:p>
    <w:p w:rsidR="00BE226E" w:rsidRDefault="00BE226E" w:rsidP="00BE226E">
      <w:pPr>
        <w:spacing w:after="0" w:line="328" w:lineRule="exact"/>
        <w:ind w:left="2921"/>
        <w:sectPr w:rsidR="00BE226E" w:rsidSect="00BE226E">
          <w:headerReference w:type="default" r:id="rId9"/>
          <w:pgSz w:w="12240" w:h="15841"/>
          <w:pgMar w:top="1440" w:right="1440" w:bottom="1200" w:left="1800" w:header="0" w:footer="0" w:gutter="0"/>
          <w:cols w:space="720"/>
        </w:sectPr>
      </w:pP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1076325</wp:posOffset>
            </wp:positionH>
            <wp:positionV relativeFrom="page">
              <wp:posOffset>714375</wp:posOffset>
            </wp:positionV>
            <wp:extent cx="5689600" cy="8331200"/>
            <wp:effectExtent l="0" t="0" r="635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33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26E" w:rsidRDefault="00BE226E" w:rsidP="00BE226E">
      <w:pPr>
        <w:spacing w:after="0" w:line="20" w:lineRule="exact"/>
      </w:pPr>
      <w:bookmarkStart w:id="1" w:name="4"/>
      <w:bookmarkEnd w:id="1"/>
      <w:r>
        <w:rPr>
          <w:noProof/>
          <w:lang w:val="en-US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1079500</wp:posOffset>
            </wp:positionH>
            <wp:positionV relativeFrom="page">
              <wp:posOffset>698500</wp:posOffset>
            </wp:positionV>
            <wp:extent cx="5689600" cy="8343900"/>
            <wp:effectExtent l="0" t="0" r="635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34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26E" w:rsidRDefault="00BE226E" w:rsidP="00BE226E">
      <w:pPr>
        <w:sectPr w:rsidR="00BE226E">
          <w:pgSz w:w="12240" w:h="15840"/>
          <w:pgMar w:top="0" w:right="0" w:bottom="0" w:left="0" w:header="0" w:footer="0" w:gutter="0"/>
          <w:cols w:space="425"/>
        </w:sectPr>
      </w:pPr>
    </w:p>
    <w:p w:rsidR="00BE226E" w:rsidRDefault="00BE226E" w:rsidP="00BE226E">
      <w:pPr>
        <w:spacing w:after="0" w:line="20" w:lineRule="exact"/>
      </w:pPr>
      <w:bookmarkStart w:id="2" w:name="5"/>
      <w:bookmarkEnd w:id="2"/>
      <w:r>
        <w:rPr>
          <w:noProof/>
          <w:lang w:val="en-US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1079500</wp:posOffset>
            </wp:positionH>
            <wp:positionV relativeFrom="page">
              <wp:posOffset>711200</wp:posOffset>
            </wp:positionV>
            <wp:extent cx="5689600" cy="8331200"/>
            <wp:effectExtent l="0" t="0" r="635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33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26E" w:rsidRDefault="00BE226E" w:rsidP="00BE226E">
      <w:pPr>
        <w:sectPr w:rsidR="00BE226E">
          <w:pgSz w:w="12240" w:h="15841"/>
          <w:pgMar w:top="0" w:right="0" w:bottom="0" w:left="0" w:header="0" w:footer="0" w:gutter="0"/>
          <w:cols w:space="425"/>
        </w:sectPr>
      </w:pPr>
    </w:p>
    <w:p w:rsidR="00BE226E" w:rsidRDefault="00BE226E" w:rsidP="00BE226E">
      <w:pPr>
        <w:spacing w:after="0" w:line="20" w:lineRule="exact"/>
      </w:pPr>
      <w:bookmarkStart w:id="3" w:name="6"/>
      <w:bookmarkEnd w:id="3"/>
      <w:r>
        <w:rPr>
          <w:noProof/>
          <w:lang w:val="en-US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1079500</wp:posOffset>
            </wp:positionH>
            <wp:positionV relativeFrom="page">
              <wp:posOffset>685800</wp:posOffset>
            </wp:positionV>
            <wp:extent cx="5689600" cy="8356600"/>
            <wp:effectExtent l="0" t="0" r="6350" b="635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35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26E" w:rsidRDefault="00BE226E" w:rsidP="00BE226E">
      <w:pPr>
        <w:sectPr w:rsidR="00BE226E">
          <w:pgSz w:w="12240" w:h="15840"/>
          <w:pgMar w:top="0" w:right="0" w:bottom="0" w:left="0" w:header="0" w:footer="0" w:gutter="0"/>
          <w:cols w:space="425"/>
        </w:sectPr>
      </w:pPr>
    </w:p>
    <w:p w:rsidR="00BE226E" w:rsidRDefault="00BE226E" w:rsidP="00BE226E">
      <w:pPr>
        <w:spacing w:after="0" w:line="20" w:lineRule="exact"/>
      </w:pPr>
      <w:bookmarkStart w:id="4" w:name="7"/>
      <w:bookmarkEnd w:id="4"/>
      <w:r>
        <w:rPr>
          <w:noProof/>
          <w:lang w:val="en-US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1079500</wp:posOffset>
            </wp:positionH>
            <wp:positionV relativeFrom="page">
              <wp:posOffset>673100</wp:posOffset>
            </wp:positionV>
            <wp:extent cx="5689600" cy="8369300"/>
            <wp:effectExtent l="0" t="0" r="635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36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26E" w:rsidRPr="00B92CD7" w:rsidRDefault="00BE226E" w:rsidP="00B92CD7">
      <w:pPr>
        <w:ind w:firstLine="720"/>
        <w:rPr>
          <w:rFonts w:cs="Times New Roman"/>
          <w:sz w:val="24"/>
          <w:szCs w:val="32"/>
        </w:rPr>
      </w:pPr>
    </w:p>
    <w:sectPr w:rsidR="00BE226E" w:rsidRPr="00B92CD7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3F6" w:rsidRDefault="00AF63F6" w:rsidP="00CB4D0A">
      <w:pPr>
        <w:spacing w:after="0" w:line="240" w:lineRule="auto"/>
      </w:pPr>
      <w:r>
        <w:separator/>
      </w:r>
    </w:p>
  </w:endnote>
  <w:endnote w:type="continuationSeparator" w:id="0">
    <w:p w:rsidR="00AF63F6" w:rsidRDefault="00AF63F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3F6" w:rsidRDefault="00AF63F6" w:rsidP="00CB4D0A">
      <w:pPr>
        <w:spacing w:after="0" w:line="240" w:lineRule="auto"/>
      </w:pPr>
      <w:r>
        <w:separator/>
      </w:r>
    </w:p>
  </w:footnote>
  <w:footnote w:type="continuationSeparator" w:id="0">
    <w:p w:rsidR="00AF63F6" w:rsidRDefault="00AF63F6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E95" w:rsidRDefault="00CE5E95">
    <w:pPr>
      <w:pStyle w:val="Header"/>
    </w:pPr>
    <w:r>
      <w:t>Deon Denton</w:t>
    </w:r>
    <w:r>
      <w:tab/>
      <w:t>Forensic Accounting   Assignment # 9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50D9A"/>
    <w:multiLevelType w:val="multilevel"/>
    <w:tmpl w:val="08F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8F5895"/>
    <w:multiLevelType w:val="hybridMultilevel"/>
    <w:tmpl w:val="A9EC7796"/>
    <w:lvl w:ilvl="0" w:tplc="6D2CB134">
      <w:start w:val="1"/>
      <w:numFmt w:val="low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3891450"/>
    <w:multiLevelType w:val="hybridMultilevel"/>
    <w:tmpl w:val="CF94E510"/>
    <w:lvl w:ilvl="0" w:tplc="1DCC8FFA">
      <w:start w:val="1"/>
      <w:numFmt w:val="lowerLetter"/>
      <w:lvlText w:val="(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16A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2DCD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45B2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F63F6"/>
    <w:rsid w:val="00B0415E"/>
    <w:rsid w:val="00B04678"/>
    <w:rsid w:val="00B92CD7"/>
    <w:rsid w:val="00BC46DF"/>
    <w:rsid w:val="00BE226E"/>
    <w:rsid w:val="00C03577"/>
    <w:rsid w:val="00C53029"/>
    <w:rsid w:val="00C65FEA"/>
    <w:rsid w:val="00CA0AC2"/>
    <w:rsid w:val="00CB4D0A"/>
    <w:rsid w:val="00CC2FB3"/>
    <w:rsid w:val="00CC575A"/>
    <w:rsid w:val="00CE5E95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99B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8B5C7B4-4BB3-4B35-B063-9563FB151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2CD7"/>
    <w:pPr>
      <w:spacing w:after="160" w:line="259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B92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56831-85F4-4CEA-BDE6-CED6F5F1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Deon Denton</cp:lastModifiedBy>
  <cp:revision>3</cp:revision>
  <dcterms:created xsi:type="dcterms:W3CDTF">2017-04-27T20:26:00Z</dcterms:created>
  <dcterms:modified xsi:type="dcterms:W3CDTF">2017-04-27T20:29:00Z</dcterms:modified>
</cp:coreProperties>
</file>