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236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79B">
            <w:pPr>
              <w:pStyle w:val="Default"/>
              <w:rPr>
                <w:rFonts w:asciiTheme="minorHAnsi" w:hAnsiTheme="minorHAnsi"/>
              </w:rPr>
            </w:pPr>
            <w:r>
              <w:rPr>
                <w:rFonts w:asciiTheme="minorHAnsi" w:hAnsiTheme="minorHAnsi"/>
              </w:rPr>
              <w:t>Walter Philip Nyamori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4EEC">
            <w:pPr>
              <w:pStyle w:val="Default"/>
              <w:rPr>
                <w:rFonts w:asciiTheme="minorHAnsi" w:hAnsiTheme="minorHAnsi"/>
              </w:rPr>
            </w:pPr>
            <w:r>
              <w:rPr>
                <w:rFonts w:asciiTheme="minorHAnsi" w:hAnsiTheme="minorHAnsi"/>
              </w:rPr>
              <w:t>9046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25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B0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06" w:type="dxa"/>
        <w:tblLook w:val="04A0" w:firstRow="1" w:lastRow="0" w:firstColumn="1" w:lastColumn="0" w:noHBand="0" w:noVBand="1"/>
      </w:tblPr>
      <w:tblGrid>
        <w:gridCol w:w="10338"/>
      </w:tblGrid>
      <w:tr w:rsidR="00CC2FB3" w:rsidTr="00FF36ED">
        <w:trPr>
          <w:trHeight w:val="841"/>
        </w:trPr>
        <w:tc>
          <w:tcPr>
            <w:tcW w:w="10306" w:type="dxa"/>
          </w:tcPr>
          <w:p w:rsidR="007E3B08" w:rsidRPr="00603F3C" w:rsidRDefault="007E3B08" w:rsidP="007E3B08">
            <w:pPr>
              <w:pStyle w:val="ListParagraph"/>
              <w:spacing w:line="360" w:lineRule="auto"/>
              <w:ind w:left="567" w:right="624"/>
              <w:jc w:val="both"/>
              <w:rPr>
                <w:rFonts w:ascii="Arial" w:hAnsi="Arial" w:cs="Arial"/>
                <w:color w:val="000000" w:themeColor="text1"/>
                <w:sz w:val="4"/>
                <w:szCs w:val="24"/>
              </w:rPr>
            </w:pPr>
          </w:p>
          <w:p w:rsidR="007E3B08" w:rsidRPr="00603F3C" w:rsidRDefault="007E3B08" w:rsidP="007E3B08">
            <w:pPr>
              <w:pStyle w:val="ListParagraph"/>
              <w:spacing w:line="360" w:lineRule="auto"/>
              <w:ind w:left="567" w:right="624"/>
              <w:jc w:val="both"/>
              <w:rPr>
                <w:rFonts w:ascii="Arial" w:hAnsi="Arial" w:cs="Arial"/>
                <w:color w:val="000000" w:themeColor="text1"/>
                <w:sz w:val="4"/>
                <w:szCs w:val="24"/>
              </w:rPr>
            </w:pPr>
          </w:p>
          <w:p w:rsidR="007E3B08" w:rsidRPr="00603F3C" w:rsidRDefault="007E3B08" w:rsidP="007E3B08">
            <w:pPr>
              <w:pStyle w:val="ListParagraph"/>
              <w:spacing w:line="360" w:lineRule="auto"/>
              <w:ind w:left="567" w:right="624"/>
              <w:jc w:val="both"/>
              <w:rPr>
                <w:rFonts w:ascii="Arial" w:hAnsi="Arial" w:cs="Arial"/>
                <w:color w:val="000000" w:themeColor="text1"/>
                <w:sz w:val="2"/>
                <w:szCs w:val="24"/>
              </w:rPr>
            </w:pPr>
          </w:p>
          <w:p w:rsidR="00FF36ED" w:rsidRPr="000625CA" w:rsidRDefault="00FF36ED" w:rsidP="00FB73D5">
            <w:pPr>
              <w:spacing w:line="360" w:lineRule="auto"/>
              <w:ind w:right="284"/>
              <w:jc w:val="both"/>
              <w:rPr>
                <w:rFonts w:ascii="Times New Roman" w:hAnsi="Times New Roman" w:cs="Times New Roman"/>
                <w:b/>
              </w:rPr>
            </w:pPr>
            <w:bookmarkStart w:id="0" w:name="_GoBack"/>
            <w:bookmarkEnd w:id="0"/>
            <w:r w:rsidRPr="000625CA">
              <w:rPr>
                <w:rFonts w:ascii="Times New Roman" w:hAnsi="Times New Roman" w:cs="Times New Roman"/>
                <w:b/>
              </w:rPr>
              <w:t>Question 1</w:t>
            </w:r>
          </w:p>
          <w:p w:rsidR="00FF36ED" w:rsidRPr="00FB73D5" w:rsidRDefault="00FF36ED" w:rsidP="00FF36ED">
            <w:pPr>
              <w:spacing w:line="360" w:lineRule="auto"/>
              <w:ind w:left="284" w:right="284"/>
              <w:jc w:val="both"/>
              <w:rPr>
                <w:rFonts w:ascii="Times New Roman" w:hAnsi="Times New Roman" w:cs="Times New Roman"/>
                <w:sz w:val="16"/>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The objectives and principles of an entity are its policies. Ideally a policy is a guiding principle used to set direction in an organisation. In contrast, a procedure is a series of steps to be followed as a consistent and repetitive process to accomplish an end goal, in other words, procedures are actions taken to ensure an entity’s objectives are achieved. Policies can therefore be viewed as decision oriented, while procedures are action oriented.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10"/>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Both policies and procedures, also document all unethical practices in an organisation and determine how violations should be treated.  Ineffective policies and procedures in other words, a weak monitoring and compliance system in an entity provide fodder for fraud to thrive and grow. Moreover, having in place a written fraud and ethics policy alone is insufficient to mitigate fraud risk.  It is necessary to communicate this policy to all related parties within an organisation and implement it. This is the responsibility of the board, who must always lead the talk. </w:t>
            </w:r>
          </w:p>
          <w:p w:rsidR="00FF36ED" w:rsidRPr="00AB675F" w:rsidRDefault="00FF36ED" w:rsidP="00FF36ED">
            <w:pPr>
              <w:pStyle w:val="ListParagraph"/>
              <w:spacing w:line="360" w:lineRule="auto"/>
              <w:ind w:left="284" w:right="284"/>
              <w:jc w:val="both"/>
              <w:rPr>
                <w:rFonts w:ascii="Times New Roman" w:hAnsi="Times New Roman"/>
                <w:color w:val="000000" w:themeColor="text1"/>
                <w:sz w:val="14"/>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Fraud is a major risk that threatens the firm, not only in terms of financial health, but also its brand, image, and reputation. Ideally, fraud is an issue that all organisations may face regardless of their size or industry. Generally many factors influence how at risk an organisation is to fraud than others.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8"/>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Perception of detection is one of the leading elements in fraud prevention. The fear of punishment, imprisonment, humiliation, and the loss of personal relationships are enough to make a potential fraudster </w:t>
            </w:r>
            <w:r w:rsidRPr="000625CA">
              <w:rPr>
                <w:rFonts w:ascii="Times New Roman" w:hAnsi="Times New Roman"/>
                <w:color w:val="000000" w:themeColor="text1"/>
              </w:rPr>
              <w:lastRenderedPageBreak/>
              <w:t>to think twice before engaging in crime, as well as evaluate whether it is worth all the risk or not. Some of the techniques that help increase perception of detection are;</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10"/>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Surveillance. Surveillance is one of the mechanisms that deter an occurrence of fraud in an organisation. Installing surveillance cameras in critical areas such as mailrooms, where mail containing cheque or cash is opened as well as where assets are subject to high risk can help to increase the perception of detection. It is also important that all members in the organisation are informed of such measures, thereby rendering it effective in preventing fraud. The fact that one is being watched is enough to instill fear on the potential fraudster.</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Anonymous tips. Following up on anonymous tips is one of the best methods of fraud detection, as well as prevention. If employees and potential fraudsters are aware that they can be easily turned in and are constantly being monitored, there is a strong perception of detection.  Having appropriate mechanisms such as involving third parties to independently handle complaints, and employing multiple communication strategies such as telephone, letters and e-mails can help enhance anonymous tip programs. Moreover, an organisation culture where employees are encouraged to offer tips can be a hallmark of an effective fraud detection and prevention program. Management must also ensure that there is a witness protection program in place to foster perception of detection.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8"/>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Surprise audits.  Surprise audits, is another effective method of detection. These methods are effective not only in fraud detection, but the mere thought of an impending audit creates a perception of detection.</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Prosecution. Prosecuting fraudsters to the maximum extent of the law sends a strong signal that no one can get away with financial crimes. Despite the risk associated with public trials, and possibility of mistrials, this approach not only ensures justice for the entity, and the fraudster, it also warns potential fraudsters against committing fraud.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Enforcement of ethics and fraud policies.  An entity should have a clear plan of action in case fraud occurs, including determining the penalties for different levels of fraud. Ensuring compliance with an entity’s fraud and ethics policy also enhances perception of detection. Inability to conform to its own policy not only renders it meaningless, but fosters an environment where fraud thrives and grow.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Catch me if you can. The greatest perception of detection is to catch the fraudster, successfully prosecute him or her in accordance with the law, and organizational policy, and publicize the treatment of the fraudster. This sends a clear message to would be offenders, and contributes positively to the anti-fraud culture within an entity.</w:t>
            </w:r>
          </w:p>
          <w:p w:rsidR="00AB675F" w:rsidRPr="00AB675F" w:rsidRDefault="00AB675F" w:rsidP="00FF36ED">
            <w:pPr>
              <w:pStyle w:val="ListParagraph"/>
              <w:spacing w:line="360" w:lineRule="auto"/>
              <w:ind w:left="624" w:right="284"/>
              <w:jc w:val="both"/>
              <w:rPr>
                <w:rFonts w:ascii="Times New Roman" w:hAnsi="Times New Roman"/>
                <w:color w:val="000000" w:themeColor="text1"/>
                <w:sz w:val="4"/>
              </w:rPr>
            </w:pPr>
          </w:p>
          <w:p w:rsidR="00FF36ED" w:rsidRPr="00FB73D5" w:rsidRDefault="00FF36ED" w:rsidP="00FF36ED">
            <w:pPr>
              <w:pStyle w:val="ListParagraph"/>
              <w:spacing w:line="360" w:lineRule="auto"/>
              <w:ind w:left="624" w:right="284"/>
              <w:jc w:val="both"/>
              <w:rPr>
                <w:rFonts w:ascii="Times New Roman" w:hAnsi="Times New Roman"/>
                <w:color w:val="000000" w:themeColor="text1"/>
                <w:sz w:val="4"/>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In order therefore to manage fraud risk, organisations should periodically identify the risks of fraud within their business, and put mechanisms in place to mitigate them.</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10"/>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lastRenderedPageBreak/>
              <w:t>Regular visits by auditors are an effective fraud prevention measure.  Internal auditors support management to establish a culture that embraces ethics, honesty and integrity. Internal audit help in fraud detection in the following ways:</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Provide assurance on effectiveness of internal controls. They assist management with the evaluation of internal controls used to mitigate fraud.</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eastAsia="Times New Roman" w:hAnsi="Times New Roman"/>
                <w:color w:val="333333"/>
                <w:lang w:eastAsia="en-GB"/>
              </w:rPr>
            </w:pPr>
            <w:r w:rsidRPr="000625CA">
              <w:rPr>
                <w:rFonts w:ascii="Times New Roman" w:hAnsi="Times New Roman"/>
                <w:color w:val="000000" w:themeColor="text1"/>
              </w:rPr>
              <w:t>They evaluate the organisation’s assessment of fraud risk. Internal audit t</w:t>
            </w:r>
            <w:r w:rsidRPr="000625CA">
              <w:rPr>
                <w:rFonts w:ascii="Times New Roman" w:eastAsia="Times New Roman" w:hAnsi="Times New Roman"/>
                <w:color w:val="333333"/>
                <w:lang w:eastAsia="en-GB"/>
              </w:rPr>
              <w:t>ake into consideration the fraud risk when evaluating the control methods and the determination of the necessary audit procedures. Whereas internal auditors are not expected to detect fraud and violations, they are expected to give reasonable confirmation that the objectives of the business environment of the operations have been achieved.</w:t>
            </w:r>
          </w:p>
          <w:p w:rsidR="00FF36ED" w:rsidRPr="00FB73D5" w:rsidRDefault="00FF36ED" w:rsidP="00FF36ED">
            <w:pPr>
              <w:pStyle w:val="ListParagraph"/>
              <w:spacing w:line="360" w:lineRule="auto"/>
              <w:ind w:left="624" w:right="284"/>
              <w:jc w:val="both"/>
              <w:rPr>
                <w:rFonts w:ascii="Times New Roman" w:eastAsia="Times New Roman" w:hAnsi="Times New Roman"/>
                <w:color w:val="333333"/>
                <w:sz w:val="6"/>
                <w:lang w:eastAsia="en-GB"/>
              </w:rPr>
            </w:pPr>
          </w:p>
          <w:p w:rsidR="00FF36ED" w:rsidRPr="000625CA" w:rsidRDefault="00FF36ED" w:rsidP="00FF36ED">
            <w:pPr>
              <w:pStyle w:val="ListParagraph"/>
              <w:spacing w:line="360" w:lineRule="auto"/>
              <w:ind w:left="624" w:right="284"/>
              <w:jc w:val="both"/>
              <w:rPr>
                <w:rFonts w:ascii="Times New Roman" w:eastAsia="Times New Roman" w:hAnsi="Times New Roman"/>
                <w:color w:val="333333"/>
                <w:lang w:eastAsia="en-GB"/>
              </w:rPr>
            </w:pPr>
            <w:r w:rsidRPr="000625CA">
              <w:rPr>
                <w:rFonts w:ascii="Times New Roman" w:eastAsia="Times New Roman" w:hAnsi="Times New Roman"/>
                <w:color w:val="333333"/>
                <w:lang w:eastAsia="en-GB"/>
              </w:rPr>
              <w:t>Internal audit provide adequate knowledge about fraud cases to determine fraud indicators. This knowledge includes awareness of fraud properties and factors and the techniques used in the commission of fraud.</w:t>
            </w:r>
          </w:p>
          <w:p w:rsidR="00FF36ED" w:rsidRPr="00FB73D5" w:rsidRDefault="00FF36ED" w:rsidP="00FF36ED">
            <w:pPr>
              <w:pStyle w:val="ListParagraph"/>
              <w:spacing w:line="360" w:lineRule="auto"/>
              <w:ind w:left="624" w:right="284"/>
              <w:jc w:val="both"/>
              <w:rPr>
                <w:rFonts w:ascii="Times New Roman" w:eastAsia="Times New Roman" w:hAnsi="Times New Roman"/>
                <w:color w:val="333333"/>
                <w:sz w:val="8"/>
                <w:lang w:eastAsia="en-GB"/>
              </w:rPr>
            </w:pPr>
          </w:p>
          <w:p w:rsidR="00FF36ED" w:rsidRDefault="00FF36ED" w:rsidP="00FF36ED">
            <w:pPr>
              <w:pStyle w:val="ListParagraph"/>
              <w:spacing w:line="360" w:lineRule="auto"/>
              <w:ind w:left="624" w:right="284"/>
              <w:jc w:val="both"/>
              <w:rPr>
                <w:rFonts w:ascii="Times New Roman" w:eastAsia="Times New Roman" w:hAnsi="Times New Roman"/>
                <w:color w:val="333333"/>
                <w:lang w:eastAsia="en-GB"/>
              </w:rPr>
            </w:pPr>
            <w:r w:rsidRPr="000625CA">
              <w:rPr>
                <w:rFonts w:ascii="Times New Roman" w:eastAsia="Times New Roman" w:hAnsi="Times New Roman"/>
                <w:color w:val="333333"/>
                <w:lang w:eastAsia="en-GB"/>
              </w:rPr>
              <w:t>Being ready to any opportunity that may allow the commission of fraud such as any weakness in the control methods. If a major deficiency in the control methods has been detected, additional tests must be conducted by internal auditors to specify fraud indicators.</w:t>
            </w:r>
          </w:p>
          <w:p w:rsidR="00FB73D5" w:rsidRPr="00FB73D5" w:rsidRDefault="00FB73D5" w:rsidP="00FF36ED">
            <w:pPr>
              <w:pStyle w:val="ListParagraph"/>
              <w:spacing w:line="360" w:lineRule="auto"/>
              <w:ind w:left="624" w:right="284"/>
              <w:jc w:val="both"/>
              <w:rPr>
                <w:rFonts w:ascii="Times New Roman" w:eastAsia="Times New Roman" w:hAnsi="Times New Roman"/>
                <w:color w:val="333333"/>
                <w:sz w:val="2"/>
                <w:lang w:eastAsia="en-GB"/>
              </w:rPr>
            </w:pPr>
          </w:p>
          <w:p w:rsidR="00FF36ED" w:rsidRPr="00FB73D5" w:rsidRDefault="00FF36ED" w:rsidP="00FF36ED">
            <w:pPr>
              <w:pStyle w:val="ListParagraph"/>
              <w:spacing w:line="360" w:lineRule="auto"/>
              <w:ind w:left="624" w:right="284"/>
              <w:jc w:val="both"/>
              <w:rPr>
                <w:rFonts w:ascii="Times New Roman" w:eastAsia="Times New Roman" w:hAnsi="Times New Roman"/>
                <w:color w:val="333333"/>
                <w:sz w:val="4"/>
                <w:lang w:eastAsia="en-GB"/>
              </w:rPr>
            </w:pPr>
          </w:p>
          <w:p w:rsidR="00FF36ED" w:rsidRPr="000625CA" w:rsidRDefault="00FF36ED" w:rsidP="00FF36ED">
            <w:pPr>
              <w:pStyle w:val="ListParagraph"/>
              <w:spacing w:line="360" w:lineRule="auto"/>
              <w:ind w:left="624" w:right="284"/>
              <w:jc w:val="both"/>
              <w:rPr>
                <w:rFonts w:ascii="Times New Roman" w:eastAsia="Times New Roman" w:hAnsi="Times New Roman"/>
                <w:color w:val="333333"/>
                <w:lang w:eastAsia="en-GB"/>
              </w:rPr>
            </w:pPr>
            <w:r w:rsidRPr="000625CA">
              <w:rPr>
                <w:rFonts w:ascii="Times New Roman" w:eastAsia="Times New Roman" w:hAnsi="Times New Roman"/>
                <w:color w:val="333333"/>
                <w:lang w:eastAsia="en-GB"/>
              </w:rPr>
              <w:t>Evaluating fraud indicators and taking any other necessary procedures or conducting investigations if needed.</w:t>
            </w:r>
          </w:p>
          <w:p w:rsidR="00FF36ED" w:rsidRPr="00FB73D5" w:rsidRDefault="00FF36ED" w:rsidP="00FF36ED">
            <w:pPr>
              <w:pStyle w:val="ListParagraph"/>
              <w:spacing w:line="360" w:lineRule="auto"/>
              <w:ind w:left="624" w:right="284"/>
              <w:jc w:val="both"/>
              <w:rPr>
                <w:rFonts w:ascii="Times New Roman" w:eastAsia="Times New Roman" w:hAnsi="Times New Roman"/>
                <w:color w:val="333333"/>
                <w:sz w:val="10"/>
                <w:lang w:eastAsia="en-GB"/>
              </w:rPr>
            </w:pPr>
          </w:p>
          <w:p w:rsidR="00FF36ED" w:rsidRPr="000625CA" w:rsidRDefault="00FF36ED" w:rsidP="00FF36ED">
            <w:pPr>
              <w:pStyle w:val="ListParagraph"/>
              <w:spacing w:line="360" w:lineRule="auto"/>
              <w:ind w:left="624" w:right="284"/>
              <w:jc w:val="both"/>
              <w:rPr>
                <w:rFonts w:ascii="Times New Roman" w:eastAsia="Times New Roman" w:hAnsi="Times New Roman"/>
                <w:color w:val="333333"/>
                <w:lang w:eastAsia="en-GB"/>
              </w:rPr>
            </w:pPr>
            <w:r w:rsidRPr="000625CA">
              <w:rPr>
                <w:rFonts w:ascii="Times New Roman" w:eastAsia="Times New Roman" w:hAnsi="Times New Roman"/>
                <w:color w:val="333333"/>
                <w:lang w:eastAsia="en-GB"/>
              </w:rPr>
              <w:t>Whistle-blowing and reporting to the competent authorities inside the organization if a fraud case is detected to recommend the conduct of an investigation.</w:t>
            </w:r>
          </w:p>
          <w:p w:rsidR="00FB73D5" w:rsidRPr="00FB73D5" w:rsidRDefault="00FB73D5" w:rsidP="00FF36ED">
            <w:pPr>
              <w:pStyle w:val="ListParagraph"/>
              <w:spacing w:line="360" w:lineRule="auto"/>
              <w:ind w:left="624" w:right="284"/>
              <w:jc w:val="both"/>
              <w:rPr>
                <w:rFonts w:ascii="Times New Roman" w:eastAsia="Times New Roman" w:hAnsi="Times New Roman"/>
                <w:color w:val="333333"/>
                <w:sz w:val="6"/>
                <w:lang w:eastAsia="en-GB"/>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eastAsia="Times New Roman" w:hAnsi="Times New Roman"/>
                <w:color w:val="333333"/>
                <w:lang w:eastAsia="en-GB"/>
              </w:rPr>
              <w:t xml:space="preserve">Internal audit forms the organisation’s third line of defence.  An independent audit function will through a risk based approach, provide assurance to management of an organisation. While the aim of the audit is detective in nature, it creates a strong perception of detection and can therefore serve as a prevention measure. Regular </w:t>
            </w:r>
            <w:r w:rsidRPr="000625CA">
              <w:rPr>
                <w:rFonts w:ascii="Times New Roman" w:hAnsi="Times New Roman"/>
                <w:color w:val="000000" w:themeColor="text1"/>
              </w:rPr>
              <w:t xml:space="preserve">audits as opposed to periodic audit can therefore help to stem occurrence of fraud. </w:t>
            </w:r>
          </w:p>
          <w:p w:rsidR="00FF36ED" w:rsidRPr="00FB73D5" w:rsidRDefault="00FF36ED" w:rsidP="00FF36ED">
            <w:pPr>
              <w:pStyle w:val="ListParagraph"/>
              <w:ind w:left="624" w:right="284"/>
              <w:jc w:val="both"/>
              <w:rPr>
                <w:rFonts w:ascii="Times New Roman" w:hAnsi="Times New Roman"/>
                <w:sz w:val="14"/>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Directive approach is the commanding approach in fraud detection. This approach is confrontational and authoritative in nature, unlike other approaches. According to this approach, management of an organisation clearly states that if someone steals, they will be caught and fired from their job. In taking this approach, the entity does not take measures to prevent fraud. If a fraud occurs and is detected, the accused is simply fired without a prosecution. This is an ineffective approach considering the fact that fraud is generally concealed and often occurs through collusion. While fraud detection techniques will not identify all fraud, a combination of both preventive and detective approaches will be effective in reducing fraud risk.</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8"/>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lastRenderedPageBreak/>
              <w:t xml:space="preserve">Ideally, organisations can never eliminate the risk of fraud entirely. There are always people who are motivated to commit fraud, and an opportunity can arise for someone to override a control or collude with others. It is important therefore that fraud detection techniques are flexible, adaptable and continually changing to meet the various changes in fraud risk. </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10"/>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An organisation can adopt a number of approaches to reduce employee theft, fraud and embezzlement. Some of the approaches include preventive, and detective approaches. In a preventive approach, an organisation puts in place preventive measures to screen out potential fraudsters. These measures include background checks for previous criminal records, segregation of duties and credit reports. In addition, active and efficient internal controls also contribute to fraud prevention.  In contrast, detective approach entails setting up strong accounting controls, and internal audit function to monitor transactions against potential frauds. The internal audit function is responsible for providing assurance on the legitimacy of transactions, and confirming that the entity’s assets exist. On the other hand accounting controls are established to detect any fraud that may occur in between periodic audits. Both preventive and detective controls are the most effective measures to insulate the company from fraudulent activities by its employees. </w:t>
            </w:r>
          </w:p>
          <w:p w:rsidR="00FF36ED" w:rsidRPr="00AB675F" w:rsidRDefault="00FF36ED" w:rsidP="00FF36ED">
            <w:pPr>
              <w:pStyle w:val="ListParagraph"/>
              <w:spacing w:line="360" w:lineRule="auto"/>
              <w:ind w:left="624" w:right="284"/>
              <w:jc w:val="both"/>
              <w:rPr>
                <w:rFonts w:ascii="Times New Roman" w:hAnsi="Times New Roman"/>
                <w:color w:val="000000" w:themeColor="text1"/>
                <w:sz w:val="12"/>
              </w:rPr>
            </w:pPr>
          </w:p>
          <w:p w:rsidR="00FF36ED" w:rsidRPr="000625CA" w:rsidRDefault="00FF36ED" w:rsidP="00FF36ED">
            <w:pPr>
              <w:pStyle w:val="ListParagraph"/>
              <w:numPr>
                <w:ilvl w:val="0"/>
                <w:numId w:val="5"/>
              </w:numPr>
              <w:spacing w:after="160"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Internal controls is a collection of policies, procedures, norms and practices which the company’s management implement in order to reduce risk to the business. Internal controls are developed with an aim to provide management with reasonable assurance that the company achieves its objectives and goals. Ideally management designs a system of internal controls to achieve the following objectives:</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2"/>
              </w:rPr>
            </w:pPr>
          </w:p>
          <w:p w:rsidR="00FB73D5" w:rsidRPr="00FB73D5" w:rsidRDefault="00FB73D5" w:rsidP="00FF36ED">
            <w:pPr>
              <w:pStyle w:val="ListParagraph"/>
              <w:spacing w:line="360" w:lineRule="auto"/>
              <w:ind w:left="624" w:right="284"/>
              <w:jc w:val="both"/>
              <w:rPr>
                <w:rFonts w:ascii="Times New Roman" w:hAnsi="Times New Roman"/>
                <w:color w:val="000000" w:themeColor="text1"/>
                <w:sz w:val="8"/>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Reliability of financial reporting. Management is responsible for preparing financial statements for investors, creditors and other users. Management has a responsibility to ensure that financial information is fairly presented in accordance with reporting requirements of accounting frameworks.</w:t>
            </w:r>
          </w:p>
          <w:p w:rsidR="00FF36ED" w:rsidRPr="00FB73D5" w:rsidRDefault="00FF36ED" w:rsidP="00FF36ED">
            <w:pPr>
              <w:pStyle w:val="ListParagraph"/>
              <w:spacing w:line="360" w:lineRule="auto"/>
              <w:ind w:left="624" w:right="284"/>
              <w:jc w:val="both"/>
              <w:rPr>
                <w:rFonts w:ascii="Times New Roman" w:hAnsi="Times New Roman"/>
                <w:color w:val="000000" w:themeColor="text1"/>
                <w:sz w:val="8"/>
              </w:rPr>
            </w:pPr>
          </w:p>
          <w:p w:rsidR="00FF36ED"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Efficiency and effectiveness of operations. Internal controls within a company encourages efficient and effective use of its resources to optimize a company’s goals and objectives. </w:t>
            </w:r>
          </w:p>
          <w:p w:rsidR="00FB73D5" w:rsidRPr="00FB73D5" w:rsidRDefault="00FB73D5"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 xml:space="preserve">Compliance with laws and regulations. A company as a natural person is required to comply with relevant laws and regulations. An example of such laws include environmental protection, civil rights etc. </w:t>
            </w:r>
          </w:p>
          <w:p w:rsidR="00FF36ED" w:rsidRPr="00FF36ED" w:rsidRDefault="00FF36ED" w:rsidP="00FF36ED">
            <w:pPr>
              <w:pStyle w:val="ListParagraph"/>
              <w:spacing w:line="360" w:lineRule="auto"/>
              <w:ind w:left="624" w:right="284"/>
              <w:jc w:val="both"/>
              <w:rPr>
                <w:rFonts w:ascii="Times New Roman" w:hAnsi="Times New Roman"/>
                <w:color w:val="000000" w:themeColor="text1"/>
                <w:sz w:val="6"/>
              </w:rPr>
            </w:pPr>
          </w:p>
          <w:p w:rsidR="00FF36ED" w:rsidRPr="000625CA" w:rsidRDefault="00FF36ED" w:rsidP="00FF36ED">
            <w:pPr>
              <w:pStyle w:val="ListParagraph"/>
              <w:spacing w:line="360" w:lineRule="auto"/>
              <w:ind w:left="624" w:right="284"/>
              <w:jc w:val="both"/>
              <w:rPr>
                <w:rFonts w:ascii="Times New Roman" w:hAnsi="Times New Roman"/>
                <w:color w:val="000000" w:themeColor="text1"/>
              </w:rPr>
            </w:pPr>
            <w:r w:rsidRPr="000625CA">
              <w:rPr>
                <w:rFonts w:ascii="Times New Roman" w:hAnsi="Times New Roman"/>
                <w:color w:val="000000" w:themeColor="text1"/>
              </w:rPr>
              <w:t>An organization can adopt some of the following internal control to prevent fraud activities.</w:t>
            </w:r>
          </w:p>
          <w:p w:rsidR="00FF36ED" w:rsidRPr="00FF36ED" w:rsidRDefault="00FF36ED" w:rsidP="00FF36ED">
            <w:pPr>
              <w:pStyle w:val="ListParagraph"/>
              <w:spacing w:line="360" w:lineRule="auto"/>
              <w:ind w:left="624" w:right="284"/>
              <w:jc w:val="both"/>
              <w:rPr>
                <w:rFonts w:ascii="Times New Roman" w:hAnsi="Times New Roman"/>
                <w:color w:val="000000" w:themeColor="text1"/>
                <w:sz w:val="8"/>
              </w:rPr>
            </w:pPr>
          </w:p>
          <w:p w:rsidR="00FF36ED" w:rsidRPr="000625CA" w:rsidRDefault="00FF36ED" w:rsidP="00FF36ED">
            <w:pPr>
              <w:pStyle w:val="ListParagraph"/>
              <w:numPr>
                <w:ilvl w:val="0"/>
                <w:numId w:val="12"/>
              </w:numPr>
              <w:spacing w:after="160" w:line="360" w:lineRule="auto"/>
              <w:ind w:left="1077" w:right="284" w:hanging="357"/>
              <w:jc w:val="both"/>
              <w:rPr>
                <w:rFonts w:ascii="Times New Roman" w:hAnsi="Times New Roman"/>
                <w:color w:val="000000" w:themeColor="text1"/>
              </w:rPr>
            </w:pPr>
            <w:r w:rsidRPr="000625CA">
              <w:rPr>
                <w:rFonts w:ascii="Times New Roman" w:hAnsi="Times New Roman"/>
                <w:color w:val="000000" w:themeColor="text1"/>
              </w:rPr>
              <w:t>Adequate separation of duties. It is desirable for example, to prevent persons who authorize transactions from having control over the related asset to reduce the likelihood of embezzlement.</w:t>
            </w:r>
          </w:p>
          <w:p w:rsidR="00FF36ED" w:rsidRPr="000625CA" w:rsidRDefault="00FF36ED" w:rsidP="00FF36ED">
            <w:pPr>
              <w:pStyle w:val="ListParagraph"/>
              <w:numPr>
                <w:ilvl w:val="0"/>
                <w:numId w:val="12"/>
              </w:numPr>
              <w:spacing w:after="160" w:line="360" w:lineRule="auto"/>
              <w:ind w:left="1077" w:right="284" w:hanging="357"/>
              <w:jc w:val="both"/>
              <w:rPr>
                <w:rFonts w:ascii="Times New Roman" w:hAnsi="Times New Roman"/>
                <w:color w:val="000000" w:themeColor="text1"/>
              </w:rPr>
            </w:pPr>
            <w:r w:rsidRPr="000625CA">
              <w:rPr>
                <w:rFonts w:ascii="Times New Roman" w:hAnsi="Times New Roman"/>
                <w:color w:val="000000" w:themeColor="text1"/>
              </w:rPr>
              <w:t>Adequate documentation, records and audit trail. Adequate documentation is essential for correct recording of transactions and control of assets.</w:t>
            </w:r>
          </w:p>
          <w:p w:rsidR="00FF36ED" w:rsidRPr="000625CA" w:rsidRDefault="00FF36ED" w:rsidP="00FF36ED">
            <w:pPr>
              <w:pStyle w:val="ListParagraph"/>
              <w:numPr>
                <w:ilvl w:val="0"/>
                <w:numId w:val="12"/>
              </w:numPr>
              <w:spacing w:after="160" w:line="360" w:lineRule="auto"/>
              <w:ind w:left="1077" w:right="284" w:hanging="357"/>
              <w:jc w:val="both"/>
              <w:rPr>
                <w:rFonts w:ascii="Times New Roman" w:hAnsi="Times New Roman"/>
                <w:color w:val="000000" w:themeColor="text1"/>
              </w:rPr>
            </w:pPr>
            <w:r w:rsidRPr="000625CA">
              <w:rPr>
                <w:rFonts w:ascii="Times New Roman" w:hAnsi="Times New Roman"/>
                <w:color w:val="000000" w:themeColor="text1"/>
              </w:rPr>
              <w:t>Physical control over assets and records. To maintain adequate internal controls, assets and records must be protected.</w:t>
            </w:r>
          </w:p>
          <w:p w:rsidR="00FF36ED" w:rsidRPr="000625CA" w:rsidRDefault="00FF36ED" w:rsidP="00FF36ED">
            <w:pPr>
              <w:pStyle w:val="ListParagraph"/>
              <w:numPr>
                <w:ilvl w:val="0"/>
                <w:numId w:val="12"/>
              </w:numPr>
              <w:spacing w:after="160" w:line="360" w:lineRule="auto"/>
              <w:ind w:left="1077" w:right="284" w:hanging="357"/>
              <w:jc w:val="both"/>
              <w:rPr>
                <w:rFonts w:ascii="Times New Roman" w:hAnsi="Times New Roman"/>
                <w:color w:val="000000" w:themeColor="text1"/>
              </w:rPr>
            </w:pPr>
            <w:r w:rsidRPr="000625CA">
              <w:rPr>
                <w:rFonts w:ascii="Times New Roman" w:hAnsi="Times New Roman"/>
                <w:color w:val="000000" w:themeColor="text1"/>
              </w:rPr>
              <w:lastRenderedPageBreak/>
              <w:t>Independent check on performance. Internal controls should be regularly reviewed by an independent function from those responsible for preparing the data.</w:t>
            </w:r>
          </w:p>
          <w:p w:rsidR="00FF36ED" w:rsidRPr="000625CA" w:rsidRDefault="00FF36ED" w:rsidP="00FF36ED">
            <w:pPr>
              <w:pStyle w:val="ListParagraph"/>
              <w:numPr>
                <w:ilvl w:val="0"/>
                <w:numId w:val="12"/>
              </w:numPr>
              <w:spacing w:after="160" w:line="360" w:lineRule="auto"/>
              <w:ind w:left="1077" w:right="284" w:hanging="357"/>
              <w:jc w:val="both"/>
              <w:rPr>
                <w:rFonts w:ascii="Times New Roman" w:hAnsi="Times New Roman"/>
                <w:color w:val="000000" w:themeColor="text1"/>
              </w:rPr>
            </w:pPr>
            <w:r w:rsidRPr="000625CA">
              <w:rPr>
                <w:rFonts w:ascii="Times New Roman" w:hAnsi="Times New Roman"/>
                <w:color w:val="000000" w:themeColor="text1"/>
              </w:rPr>
              <w:t>Monitoring of controls. Monitoring activities deals with periodic assessment of the effectiveness of the internal controls. Without effective monitoring, controls would become counterproductive.</w:t>
            </w:r>
          </w:p>
          <w:p w:rsidR="00FF36ED" w:rsidRPr="00FF36ED" w:rsidRDefault="00FF36ED" w:rsidP="00FF36ED">
            <w:pPr>
              <w:pStyle w:val="ListParagraph"/>
              <w:spacing w:line="360" w:lineRule="auto"/>
              <w:ind w:left="1077" w:right="284"/>
              <w:jc w:val="both"/>
              <w:rPr>
                <w:rFonts w:ascii="Times New Roman" w:hAnsi="Times New Roman"/>
                <w:color w:val="000000" w:themeColor="text1"/>
                <w:sz w:val="4"/>
              </w:rPr>
            </w:pPr>
          </w:p>
          <w:p w:rsidR="00FF36ED" w:rsidRPr="000625CA" w:rsidRDefault="00FF36ED" w:rsidP="00FF36ED">
            <w:pPr>
              <w:pStyle w:val="ListParagraph"/>
              <w:spacing w:line="360" w:lineRule="auto"/>
              <w:ind w:left="1077" w:right="284"/>
              <w:jc w:val="both"/>
              <w:rPr>
                <w:rFonts w:ascii="Times New Roman" w:hAnsi="Times New Roman"/>
                <w:color w:val="000000" w:themeColor="text1"/>
              </w:rPr>
            </w:pPr>
            <w:r w:rsidRPr="000625CA">
              <w:rPr>
                <w:rFonts w:ascii="Times New Roman" w:hAnsi="Times New Roman"/>
                <w:color w:val="000000" w:themeColor="text1"/>
              </w:rPr>
              <w:t xml:space="preserve">Internal controls however can never be completely effective, regardless of the due diligence followed in their design and implementation. Even if management can design a robust internal control system, its effectiveness depends on the competency and dependability of the people using it. </w:t>
            </w:r>
          </w:p>
          <w:p w:rsidR="00FF36ED" w:rsidRPr="00AB675F" w:rsidRDefault="00FF36ED" w:rsidP="00FF36ED">
            <w:pPr>
              <w:pStyle w:val="ListParagraph"/>
              <w:spacing w:line="360" w:lineRule="auto"/>
              <w:ind w:left="1077" w:right="284"/>
              <w:jc w:val="both"/>
              <w:rPr>
                <w:rFonts w:ascii="Times New Roman" w:hAnsi="Times New Roman"/>
                <w:color w:val="000000" w:themeColor="text1"/>
                <w:sz w:val="18"/>
              </w:rPr>
            </w:pPr>
          </w:p>
          <w:p w:rsidR="00FF36ED" w:rsidRPr="000625CA" w:rsidRDefault="00AB675F" w:rsidP="00AB675F">
            <w:pPr>
              <w:spacing w:line="360" w:lineRule="auto"/>
              <w:ind w:right="284"/>
              <w:jc w:val="both"/>
              <w:rPr>
                <w:rFonts w:ascii="Times New Roman" w:hAnsi="Times New Roman" w:cs="Times New Roman"/>
                <w:b/>
              </w:rPr>
            </w:pPr>
            <w:r>
              <w:rPr>
                <w:rFonts w:ascii="Times New Roman" w:hAnsi="Times New Roman" w:cs="Times New Roman"/>
                <w:b/>
              </w:rPr>
              <w:t xml:space="preserve"> </w:t>
            </w:r>
            <w:r w:rsidR="00FF36ED" w:rsidRPr="000625CA">
              <w:rPr>
                <w:rFonts w:ascii="Times New Roman" w:hAnsi="Times New Roman" w:cs="Times New Roman"/>
                <w:b/>
              </w:rPr>
              <w:t xml:space="preserve">Question 2 </w:t>
            </w:r>
          </w:p>
          <w:p w:rsidR="00FF36ED" w:rsidRPr="00FF36ED" w:rsidRDefault="00FF36ED" w:rsidP="00FF36ED">
            <w:pPr>
              <w:spacing w:line="360" w:lineRule="auto"/>
              <w:ind w:left="284" w:right="284"/>
              <w:jc w:val="both"/>
              <w:rPr>
                <w:rFonts w:ascii="Times New Roman" w:hAnsi="Times New Roman" w:cs="Times New Roman"/>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The tone from the top is a key part of any fraud prevention and detection strategy. An appropriate fraud policy therefore is the best starting point for developing an efficient fraud response. A fraud policy raises awareness amongst staff that appropriate response plans have been devised, to deal with and minimize the damage caused by any fraudulent attack. By explicitly defining actions that constitute fraud you ensure that all employees and third parties are aware of what is unacceptable. Ideally a fraud policy should include these elements:</w:t>
            </w:r>
          </w:p>
          <w:p w:rsidR="00FF36ED" w:rsidRPr="00FF36ED" w:rsidRDefault="00FF36ED" w:rsidP="00FF36ED">
            <w:pPr>
              <w:spacing w:line="360" w:lineRule="auto"/>
              <w:ind w:left="624" w:right="284"/>
              <w:jc w:val="both"/>
              <w:rPr>
                <w:rFonts w:ascii="Times New Roman" w:hAnsi="Times New Roman" w:cs="Times New Roman"/>
                <w:color w:val="000000" w:themeColor="text1"/>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An explicit definition of actions that are considered to be fraudulent. Without a proper definition of fraud, a judge or jury would struggle to call it fraud. A fraud policy therefore reduce any doubt during prosecution of suspects.</w:t>
            </w:r>
          </w:p>
          <w:p w:rsidR="00FB73D5" w:rsidRPr="00FB73D5" w:rsidRDefault="00FB73D5" w:rsidP="00FF36ED">
            <w:pPr>
              <w:spacing w:line="360" w:lineRule="auto"/>
              <w:ind w:left="624" w:right="284"/>
              <w:jc w:val="both"/>
              <w:rPr>
                <w:rFonts w:ascii="Times New Roman" w:hAnsi="Times New Roman" w:cs="Times New Roman"/>
                <w:color w:val="000000" w:themeColor="text1"/>
                <w:sz w:val="10"/>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Allocation of responsibilities for the overall management of fraud. Whereas it is everyone’s responsibility to detect fraud, it is not everyone’s responsibility to investigate, and this should be clear in your fraud policy.</w:t>
            </w:r>
          </w:p>
          <w:p w:rsidR="00FB73D5" w:rsidRPr="00FB73D5" w:rsidRDefault="00FB73D5" w:rsidP="00FF36ED">
            <w:pPr>
              <w:spacing w:line="360" w:lineRule="auto"/>
              <w:ind w:left="624" w:right="284"/>
              <w:jc w:val="both"/>
              <w:rPr>
                <w:rFonts w:ascii="Times New Roman" w:hAnsi="Times New Roman" w:cs="Times New Roman"/>
                <w:color w:val="000000" w:themeColor="text1"/>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A statement that all appropriate measures to deter fraud will be taken. This acts as a deterrent to would be offenders.</w:t>
            </w:r>
          </w:p>
          <w:p w:rsidR="00FB73D5" w:rsidRPr="00AB675F" w:rsidRDefault="00FB73D5" w:rsidP="00FF36ED">
            <w:pPr>
              <w:spacing w:line="360" w:lineRule="auto"/>
              <w:ind w:left="624" w:right="284"/>
              <w:jc w:val="both"/>
              <w:rPr>
                <w:rFonts w:ascii="Times New Roman" w:hAnsi="Times New Roman" w:cs="Times New Roman"/>
                <w:color w:val="000000" w:themeColor="text1"/>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The formal procedures which staff should follow if fraud is suspected. This will include a listing of the appropriate communication channels for reporting fraud. It is also important that employees are encouraged to report any suspicion of fraud.</w:t>
            </w:r>
          </w:p>
          <w:p w:rsidR="00FB73D5" w:rsidRPr="00FB73D5" w:rsidRDefault="00FB73D5" w:rsidP="00FF36ED">
            <w:pPr>
              <w:spacing w:line="360" w:lineRule="auto"/>
              <w:ind w:left="624" w:right="284"/>
              <w:jc w:val="both"/>
              <w:rPr>
                <w:rFonts w:ascii="Times New Roman" w:hAnsi="Times New Roman" w:cs="Times New Roman"/>
                <w:color w:val="000000" w:themeColor="text1"/>
                <w:sz w:val="10"/>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 xml:space="preserve">Notification that all instances of suspected fraud will be investigated and reported to the appropriate authorities. </w:t>
            </w:r>
          </w:p>
          <w:p w:rsidR="00AB675F" w:rsidRPr="00AB675F" w:rsidRDefault="00AB675F" w:rsidP="00FF36ED">
            <w:pPr>
              <w:spacing w:line="360" w:lineRule="auto"/>
              <w:ind w:left="624" w:right="284"/>
              <w:jc w:val="both"/>
              <w:rPr>
                <w:rFonts w:ascii="Times New Roman" w:hAnsi="Times New Roman" w:cs="Times New Roman"/>
                <w:color w:val="000000" w:themeColor="text1"/>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The fraud policy should also include the methods management will adopt when fraud is detected or suspected. It should include questions such as who, what, where, and when in connection with any tips or complaints that are received.</w:t>
            </w:r>
          </w:p>
          <w:p w:rsidR="00FB73D5" w:rsidRPr="00FB73D5" w:rsidRDefault="00FB73D5" w:rsidP="00FF36ED">
            <w:pPr>
              <w:spacing w:line="360" w:lineRule="auto"/>
              <w:ind w:left="624" w:right="284"/>
              <w:jc w:val="both"/>
              <w:rPr>
                <w:rFonts w:ascii="Times New Roman" w:hAnsi="Times New Roman" w:cs="Times New Roman"/>
                <w:color w:val="000000" w:themeColor="text1"/>
                <w:sz w:val="8"/>
              </w:rPr>
            </w:pPr>
          </w:p>
          <w:p w:rsidR="00FF36ED"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 xml:space="preserve">Maintaining confidentiality is another element of the fraud policy. The policy should be particular about maintaining confidentiality for the sake of innocent employees and for the whistleblowers. Moreover, </w:t>
            </w:r>
            <w:r w:rsidRPr="000625CA">
              <w:rPr>
                <w:rFonts w:ascii="Times New Roman" w:hAnsi="Times New Roman" w:cs="Times New Roman"/>
                <w:color w:val="000000" w:themeColor="text1"/>
              </w:rPr>
              <w:lastRenderedPageBreak/>
              <w:t xml:space="preserve">disclosing information on the status of the investigation could lead to disappearance of critical documents on the investigation. </w:t>
            </w:r>
          </w:p>
          <w:p w:rsidR="00FB73D5" w:rsidRPr="00FB73D5" w:rsidRDefault="00FB73D5" w:rsidP="00FF36ED">
            <w:pPr>
              <w:spacing w:line="360" w:lineRule="auto"/>
              <w:ind w:left="624" w:right="284"/>
              <w:jc w:val="both"/>
              <w:rPr>
                <w:rFonts w:ascii="Times New Roman" w:hAnsi="Times New Roman" w:cs="Times New Roman"/>
                <w:color w:val="000000" w:themeColor="text1"/>
                <w:sz w:val="8"/>
              </w:rPr>
            </w:pPr>
          </w:p>
          <w:p w:rsidR="00FF36ED" w:rsidRPr="000625CA" w:rsidRDefault="00FF36ED" w:rsidP="00FF36ED">
            <w:pPr>
              <w:spacing w:line="360" w:lineRule="auto"/>
              <w:ind w:left="624" w:right="284"/>
              <w:jc w:val="both"/>
              <w:rPr>
                <w:rFonts w:ascii="Times New Roman" w:hAnsi="Times New Roman" w:cs="Times New Roman"/>
                <w:color w:val="000000" w:themeColor="text1"/>
              </w:rPr>
            </w:pPr>
            <w:r w:rsidRPr="000625CA">
              <w:rPr>
                <w:rFonts w:ascii="Times New Roman" w:hAnsi="Times New Roman" w:cs="Times New Roman"/>
                <w:color w:val="000000" w:themeColor="text1"/>
              </w:rPr>
              <w:t xml:space="preserve">In closing, the existence of a fraud risk assessment may deter would be fraudsters, as well as assist in conducting a cost-benefit analysis of mitigating mechanisms with respect to fraud risks. A risk assessment activity should be a continuous process, and tailored as organisation’s circumstances evolves which may result to new risks, or risks previously not assessed. </w:t>
            </w:r>
          </w:p>
          <w:p w:rsidR="00FF36ED" w:rsidRPr="00FF36ED" w:rsidRDefault="00FF36ED" w:rsidP="00FF36ED">
            <w:pPr>
              <w:spacing w:line="360" w:lineRule="auto"/>
              <w:ind w:left="284" w:right="284"/>
              <w:jc w:val="both"/>
              <w:rPr>
                <w:rFonts w:ascii="Times New Roman" w:hAnsi="Times New Roman" w:cs="Times New Roman"/>
                <w:b/>
                <w:sz w:val="12"/>
              </w:rPr>
            </w:pPr>
            <w:r w:rsidRPr="000625CA">
              <w:rPr>
                <w:rFonts w:ascii="Times New Roman" w:hAnsi="Times New Roman" w:cs="Times New Roman"/>
                <w:b/>
              </w:rPr>
              <w:t xml:space="preserve"> </w:t>
            </w:r>
          </w:p>
          <w:p w:rsidR="00FF36ED" w:rsidRDefault="00FF36ED" w:rsidP="00FF36ED">
            <w:pPr>
              <w:spacing w:line="360" w:lineRule="auto"/>
              <w:ind w:left="284" w:right="284"/>
              <w:jc w:val="both"/>
              <w:rPr>
                <w:rFonts w:ascii="Times New Roman" w:hAnsi="Times New Roman" w:cs="Times New Roman"/>
                <w:b/>
              </w:rPr>
            </w:pPr>
            <w:r w:rsidRPr="000625CA">
              <w:rPr>
                <w:rFonts w:ascii="Times New Roman" w:hAnsi="Times New Roman" w:cs="Times New Roman"/>
                <w:b/>
              </w:rPr>
              <w:t>References</w:t>
            </w:r>
          </w:p>
          <w:p w:rsidR="00FB73D5" w:rsidRPr="00FB73D5" w:rsidRDefault="00FB73D5" w:rsidP="00FF36ED">
            <w:pPr>
              <w:spacing w:line="360" w:lineRule="auto"/>
              <w:ind w:left="284" w:right="284"/>
              <w:jc w:val="both"/>
              <w:rPr>
                <w:rFonts w:ascii="Times New Roman" w:hAnsi="Times New Roman" w:cs="Times New Roman"/>
                <w:b/>
                <w:sz w:val="2"/>
              </w:rPr>
            </w:pPr>
          </w:p>
          <w:p w:rsidR="00FF36ED" w:rsidRPr="00FF36ED" w:rsidRDefault="00FF36ED" w:rsidP="00FF36ED">
            <w:pPr>
              <w:spacing w:line="360" w:lineRule="auto"/>
              <w:ind w:left="284" w:right="284"/>
              <w:jc w:val="both"/>
              <w:rPr>
                <w:rFonts w:ascii="Times New Roman" w:hAnsi="Times New Roman" w:cs="Times New Roman"/>
                <w:sz w:val="4"/>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Abimbola, K. (2002). ‘’The logic of Preliminary Fact Investigation.’’ The Journal of Law and Society 29: 500-60.</w:t>
            </w:r>
          </w:p>
          <w:p w:rsidR="00FB73D5" w:rsidRPr="00AB675F" w:rsidRDefault="00FB73D5"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ACFE (2008). Report to the Nation on Occupational Fraud and Abuse. Available at: http://www.acfe.com/uploadedFiles/ACFE Website</w:t>
            </w:r>
          </w:p>
          <w:p w:rsidR="00FF36ED" w:rsidRPr="00AB675F" w:rsidRDefault="00FF36ED"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Style w:val="Hyperlink"/>
                <w:rFonts w:ascii="Times New Roman" w:hAnsi="Times New Roman" w:cs="Times New Roman"/>
              </w:rPr>
            </w:pPr>
            <w:r w:rsidRPr="000625CA">
              <w:rPr>
                <w:rFonts w:ascii="Times New Roman" w:hAnsi="Times New Roman" w:cs="Times New Roman"/>
              </w:rPr>
              <w:t>ACFE (2016).Fraud Risk Assessment</w:t>
            </w:r>
            <w:r>
              <w:rPr>
                <w:rFonts w:ascii="Times New Roman" w:hAnsi="Times New Roman" w:cs="Times New Roman"/>
              </w:rPr>
              <w:t>.</w:t>
            </w:r>
            <w:r w:rsidRPr="000625CA">
              <w:rPr>
                <w:rFonts w:ascii="Times New Roman" w:hAnsi="Times New Roman" w:cs="Times New Roman"/>
              </w:rPr>
              <w:t>[Accessed 28 December 2018].Available at:</w:t>
            </w:r>
            <w:hyperlink r:id="rId9" w:history="1">
              <w:r w:rsidRPr="000625CA">
                <w:rPr>
                  <w:rStyle w:val="Hyperlink"/>
                  <w:rFonts w:ascii="Times New Roman" w:hAnsi="Times New Roman" w:cs="Times New Roman"/>
                </w:rPr>
                <w:t>http://www.acfe.com/uploadedFiles/ACFE_Website/Content/review/examreview/18-fraud-risk-assessment.pdf</w:t>
              </w:r>
            </w:hyperlink>
          </w:p>
          <w:p w:rsidR="00FF36ED" w:rsidRPr="00FF36ED" w:rsidRDefault="00FF36ED" w:rsidP="00FF36ED">
            <w:pPr>
              <w:spacing w:line="360" w:lineRule="auto"/>
              <w:ind w:left="624" w:right="284"/>
              <w:jc w:val="both"/>
              <w:rPr>
                <w:rStyle w:val="Hyperlink"/>
                <w:rFonts w:ascii="Times New Roman" w:hAnsi="Times New Roman" w:cs="Times New Roman"/>
                <w:sz w:val="8"/>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ACFE (2017). Fraud Examiners Manual (International)</w:t>
            </w:r>
          </w:p>
          <w:p w:rsidR="00FF36ED" w:rsidRPr="00FF36ED" w:rsidRDefault="00FF36ED" w:rsidP="00FF36ED">
            <w:pPr>
              <w:spacing w:line="360" w:lineRule="auto"/>
              <w:ind w:left="624" w:right="284"/>
              <w:jc w:val="both"/>
              <w:rPr>
                <w:rFonts w:ascii="Times New Roman" w:hAnsi="Times New Roman" w:cs="Times New Roman"/>
                <w:sz w:val="4"/>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Alvin, A.A., Randal, J.E &amp; Mark, S.B (2014). Auditing and Assurance Services: An Intergraded Approach. 15</w:t>
            </w:r>
            <w:r w:rsidRPr="000625CA">
              <w:rPr>
                <w:rFonts w:ascii="Times New Roman" w:hAnsi="Times New Roman" w:cs="Times New Roman"/>
                <w:vertAlign w:val="superscript"/>
              </w:rPr>
              <w:t>th</w:t>
            </w:r>
            <w:r w:rsidRPr="000625CA">
              <w:rPr>
                <w:rFonts w:ascii="Times New Roman" w:hAnsi="Times New Roman" w:cs="Times New Roman"/>
              </w:rPr>
              <w:t xml:space="preserve"> Edition. New Jersey: Pearson Education</w:t>
            </w:r>
          </w:p>
          <w:p w:rsidR="00FF36ED" w:rsidRPr="00FF36ED" w:rsidRDefault="00FF36ED"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 xml:space="preserve">American Institute of Certified Public Accountants (AICPA), Management Override of Internal Controls: The Achilles’ Heel of Fraud Prevention, 2005, </w:t>
            </w:r>
            <w:hyperlink r:id="rId10" w:history="1">
              <w:r w:rsidRPr="00DE3813">
                <w:rPr>
                  <w:rStyle w:val="Hyperlink"/>
                  <w:rFonts w:ascii="Times New Roman" w:hAnsi="Times New Roman" w:cs="Times New Roman"/>
                </w:rPr>
                <w:t>www.aicpa.org</w:t>
              </w:r>
            </w:hyperlink>
            <w:r w:rsidRPr="000625CA">
              <w:rPr>
                <w:rFonts w:ascii="Times New Roman" w:hAnsi="Times New Roman" w:cs="Times New Roman"/>
              </w:rPr>
              <w:t>.</w:t>
            </w:r>
          </w:p>
          <w:p w:rsidR="00FF36ED" w:rsidRPr="00FF36ED" w:rsidRDefault="00FF36ED"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Bakerville, A.T&amp; Brill, A. (2002). The CPA’s Handbook of Fraud &amp; Commercial Crime Prevention. American Institute of Certified Public Accountants. New York.</w:t>
            </w:r>
          </w:p>
          <w:p w:rsidR="00FF36ED" w:rsidRPr="00FF36ED" w:rsidRDefault="00FF36ED" w:rsidP="00FF36ED">
            <w:pPr>
              <w:spacing w:line="360" w:lineRule="auto"/>
              <w:ind w:left="624" w:right="284"/>
              <w:jc w:val="both"/>
              <w:rPr>
                <w:rFonts w:ascii="Times New Roman" w:hAnsi="Times New Roman" w:cs="Times New Roman"/>
                <w:sz w:val="6"/>
              </w:rPr>
            </w:pPr>
          </w:p>
          <w:p w:rsidR="00FF36ED" w:rsidRPr="000625CA"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Binder, D and Bergman, P. (1999). Fact Investigation: From Hypothesis to Proof. St. Paul, MN: West Publishing.</w:t>
            </w:r>
          </w:p>
          <w:p w:rsidR="00FF36ED" w:rsidRDefault="00FF36ED" w:rsidP="00FF36ED">
            <w:pPr>
              <w:spacing w:line="360" w:lineRule="auto"/>
              <w:ind w:left="624" w:right="284"/>
              <w:jc w:val="both"/>
              <w:rPr>
                <w:rFonts w:ascii="Times New Roman" w:hAnsi="Times New Roman" w:cs="Times New Roman"/>
              </w:rPr>
            </w:pPr>
            <w:hyperlink r:id="rId11" w:history="1">
              <w:r w:rsidRPr="000625CA">
                <w:rPr>
                  <w:rStyle w:val="Hyperlink"/>
                  <w:rFonts w:ascii="Times New Roman" w:hAnsi="Times New Roman" w:cs="Times New Roman"/>
                </w:rPr>
                <w:t>https://www2.delloite.com/nz/en/pages/finance/articles/fraud-policies-why-you-need-one.html</w:t>
              </w:r>
            </w:hyperlink>
            <w:r w:rsidRPr="000625CA">
              <w:rPr>
                <w:rFonts w:ascii="Times New Roman" w:hAnsi="Times New Roman" w:cs="Times New Roman"/>
              </w:rPr>
              <w:t xml:space="preserve">  [Accessed 14 January 2019] </w:t>
            </w:r>
          </w:p>
          <w:p w:rsidR="00FB73D5" w:rsidRPr="00FB73D5" w:rsidRDefault="00FB73D5"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 xml:space="preserve">Ernest &amp; Young, (2003). Fraud: the unmanaged Risk. Available at:  </w:t>
            </w:r>
            <w:hyperlink r:id="rId12" w:history="1">
              <w:r w:rsidR="00FB73D5" w:rsidRPr="00DE3813">
                <w:rPr>
                  <w:rStyle w:val="Hyperlink"/>
                  <w:rFonts w:ascii="Times New Roman" w:hAnsi="Times New Roman" w:cs="Times New Roman"/>
                </w:rPr>
                <w:t>www.ey.com</w:t>
              </w:r>
            </w:hyperlink>
          </w:p>
          <w:p w:rsidR="00FB73D5" w:rsidRPr="00AB675F" w:rsidRDefault="00FB73D5" w:rsidP="00FF36ED">
            <w:pPr>
              <w:spacing w:line="360" w:lineRule="auto"/>
              <w:ind w:left="624" w:right="284"/>
              <w:jc w:val="both"/>
              <w:rPr>
                <w:rFonts w:ascii="Times New Roman" w:hAnsi="Times New Roman" w:cs="Times New Roman"/>
                <w:sz w:val="10"/>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 xml:space="preserve">Fisher, K (2015). The Psychology of Fraud: What Motivates Fraudsters to Commit Crime. Available at: </w:t>
            </w:r>
            <w:hyperlink r:id="rId13" w:history="1">
              <w:r w:rsidRPr="000625CA">
                <w:rPr>
                  <w:rStyle w:val="Hyperlink"/>
                  <w:rFonts w:ascii="Times New Roman" w:hAnsi="Times New Roman" w:cs="Times New Roman"/>
                </w:rPr>
                <w:t>https://ssrn.com/abstarct=2596825</w:t>
              </w:r>
            </w:hyperlink>
            <w:r w:rsidRPr="000625CA">
              <w:rPr>
                <w:rFonts w:ascii="Times New Roman" w:hAnsi="Times New Roman" w:cs="Times New Roman"/>
              </w:rPr>
              <w:t>.</w:t>
            </w:r>
          </w:p>
          <w:p w:rsidR="00FB73D5" w:rsidRPr="00FB73D5" w:rsidRDefault="00FB73D5" w:rsidP="00FF36ED">
            <w:pPr>
              <w:spacing w:line="360" w:lineRule="auto"/>
              <w:ind w:left="624" w:right="284"/>
              <w:jc w:val="both"/>
              <w:rPr>
                <w:rFonts w:ascii="Times New Roman" w:hAnsi="Times New Roman" w:cs="Times New Roman"/>
                <w:sz w:val="8"/>
              </w:rPr>
            </w:pPr>
          </w:p>
          <w:p w:rsidR="00FF36ED" w:rsidRDefault="00FB73D5" w:rsidP="00FF36ED">
            <w:pPr>
              <w:spacing w:line="360" w:lineRule="auto"/>
              <w:ind w:left="624" w:right="284"/>
              <w:jc w:val="both"/>
              <w:rPr>
                <w:rFonts w:ascii="Times New Roman" w:hAnsi="Times New Roman" w:cs="Times New Roman"/>
              </w:rPr>
            </w:pPr>
            <w:hyperlink r:id="rId14" w:history="1">
              <w:r w:rsidRPr="00DE3813">
                <w:rPr>
                  <w:rStyle w:val="Hyperlink"/>
                  <w:rFonts w:ascii="Times New Roman" w:hAnsi="Times New Roman" w:cs="Times New Roman"/>
                </w:rPr>
                <w:t>https://www.acfe.com/uploadedFiles/ACFE_Website/Content/european/Course_Materials/2014/cpp/5B-Piero-Matriciani.pdf</w:t>
              </w:r>
            </w:hyperlink>
          </w:p>
          <w:p w:rsidR="00FB73D5" w:rsidRPr="00FB73D5" w:rsidRDefault="00FB73D5" w:rsidP="00FF36ED">
            <w:pPr>
              <w:spacing w:line="360" w:lineRule="auto"/>
              <w:ind w:left="624" w:right="284"/>
              <w:jc w:val="both"/>
              <w:rPr>
                <w:rFonts w:ascii="Times New Roman" w:hAnsi="Times New Roman" w:cs="Times New Roman"/>
                <w:sz w:val="8"/>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McGimsey, C. L. and Whelan, D. (2015). How to get the most out of fraud investigation interviews. American Institute of Certified Public Accountants. New York</w:t>
            </w:r>
          </w:p>
          <w:p w:rsidR="00FB73D5" w:rsidRPr="00FB73D5" w:rsidRDefault="00FB73D5"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PwC (2018). Fraud: The overlooked Competitor. [Accessed 28 December 2018]</w:t>
            </w:r>
          </w:p>
          <w:p w:rsidR="00FB73D5" w:rsidRPr="00FB73D5" w:rsidRDefault="00FB73D5" w:rsidP="00FF36ED">
            <w:pPr>
              <w:spacing w:line="360" w:lineRule="auto"/>
              <w:ind w:left="624" w:right="284"/>
              <w:jc w:val="both"/>
              <w:rPr>
                <w:rFonts w:ascii="Times New Roman" w:hAnsi="Times New Roman" w:cs="Times New Roman"/>
                <w:sz w:val="6"/>
              </w:rPr>
            </w:pPr>
          </w:p>
          <w:p w:rsidR="00FF36ED" w:rsidRDefault="00FF36ED" w:rsidP="00FF36ED">
            <w:pPr>
              <w:spacing w:line="360" w:lineRule="auto"/>
              <w:ind w:left="624" w:right="284"/>
              <w:jc w:val="both"/>
              <w:rPr>
                <w:rStyle w:val="Hyperlink"/>
                <w:rFonts w:ascii="Times New Roman" w:hAnsi="Times New Roman" w:cs="Times New Roman"/>
                <w:color w:val="000000" w:themeColor="text1"/>
              </w:rPr>
            </w:pPr>
            <w:r w:rsidRPr="000625CA">
              <w:rPr>
                <w:rStyle w:val="Hyperlink"/>
                <w:rFonts w:ascii="Times New Roman" w:hAnsi="Times New Roman" w:cs="Times New Roman"/>
                <w:color w:val="000000" w:themeColor="text1"/>
              </w:rPr>
              <w:t>Silverstone, H., Pedneault, Sheetz, M, and Rudewicz, F. (2012). Forensic Accounting and Fraud Investigation. 3</w:t>
            </w:r>
            <w:r w:rsidRPr="000625CA">
              <w:rPr>
                <w:rStyle w:val="Hyperlink"/>
                <w:rFonts w:ascii="Times New Roman" w:hAnsi="Times New Roman" w:cs="Times New Roman"/>
                <w:color w:val="000000" w:themeColor="text1"/>
                <w:vertAlign w:val="superscript"/>
              </w:rPr>
              <w:t>rd</w:t>
            </w:r>
            <w:r w:rsidRPr="000625CA">
              <w:rPr>
                <w:rStyle w:val="Hyperlink"/>
                <w:rFonts w:ascii="Times New Roman" w:hAnsi="Times New Roman" w:cs="Times New Roman"/>
                <w:color w:val="000000" w:themeColor="text1"/>
              </w:rPr>
              <w:t xml:space="preserve"> Edition: CPE edition, Wiley</w:t>
            </w:r>
          </w:p>
          <w:p w:rsidR="00FB73D5" w:rsidRPr="00FB73D5" w:rsidRDefault="00FB73D5" w:rsidP="00FF36ED">
            <w:pPr>
              <w:spacing w:line="360" w:lineRule="auto"/>
              <w:ind w:left="624" w:right="284"/>
              <w:jc w:val="both"/>
              <w:rPr>
                <w:rFonts w:ascii="Times New Roman" w:hAnsi="Times New Roman" w:cs="Times New Roman"/>
                <w:color w:val="000000" w:themeColor="text1"/>
                <w:sz w:val="10"/>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 xml:space="preserve">Sridhar, R (2008). The Psychology and Sociology of Fraud: Integrating the Behavioral Sciences Component into Fraud and Forensic Accounting Curricula. Issues in Accounting Education, V23, No.4 </w:t>
            </w:r>
          </w:p>
          <w:p w:rsidR="00FB73D5" w:rsidRPr="00FB73D5" w:rsidRDefault="00FB73D5" w:rsidP="00FF36ED">
            <w:pPr>
              <w:spacing w:line="360" w:lineRule="auto"/>
              <w:ind w:left="624" w:right="284"/>
              <w:jc w:val="both"/>
              <w:rPr>
                <w:rFonts w:ascii="Times New Roman" w:hAnsi="Times New Roman" w:cs="Times New Roman"/>
                <w:sz w:val="10"/>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 xml:space="preserve">Steve, D.L &amp; Thomas, J.M (2006). Economic Contributions to the Understanding of Crime. Annual Review of Law and Social Science Journal, V 2. 147-64 </w:t>
            </w:r>
          </w:p>
          <w:p w:rsidR="00FB73D5" w:rsidRPr="00FB73D5" w:rsidRDefault="00FB73D5" w:rsidP="00FF36ED">
            <w:pPr>
              <w:spacing w:line="360" w:lineRule="auto"/>
              <w:ind w:left="624" w:right="284"/>
              <w:jc w:val="both"/>
              <w:rPr>
                <w:rFonts w:ascii="Times New Roman" w:hAnsi="Times New Roman" w:cs="Times New Roman"/>
                <w:sz w:val="10"/>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The Institute of Internal Auditors, the American Institute of Certified Public Accountants and Association of Certified Fraud Examiners, (2007). Managing the Business Risk of Fraud: A practical Guide.</w:t>
            </w:r>
          </w:p>
          <w:p w:rsidR="00FB73D5" w:rsidRPr="00FB73D5" w:rsidRDefault="00FB73D5" w:rsidP="00FF36ED">
            <w:pPr>
              <w:spacing w:line="360" w:lineRule="auto"/>
              <w:ind w:left="624" w:right="284"/>
              <w:jc w:val="both"/>
              <w:rPr>
                <w:rFonts w:ascii="Times New Roman" w:hAnsi="Times New Roman" w:cs="Times New Roman"/>
                <w:sz w:val="8"/>
              </w:rPr>
            </w:pPr>
          </w:p>
          <w:p w:rsidR="00FF36ED" w:rsidRDefault="00FF36ED" w:rsidP="00FF36ED">
            <w:pPr>
              <w:spacing w:line="360" w:lineRule="auto"/>
              <w:ind w:left="624" w:right="284"/>
              <w:jc w:val="both"/>
              <w:rPr>
                <w:rFonts w:ascii="Times New Roman" w:hAnsi="Times New Roman" w:cs="Times New Roman"/>
              </w:rPr>
            </w:pPr>
            <w:r w:rsidRPr="000625CA">
              <w:rPr>
                <w:rFonts w:ascii="Times New Roman" w:hAnsi="Times New Roman" w:cs="Times New Roman"/>
              </w:rPr>
              <w:t>Turnbull, N, (2005). Internal Control: Revised Guidance for Directors on the Combined Code. Financial Reporting Council</w:t>
            </w:r>
          </w:p>
          <w:p w:rsidR="00FB73D5" w:rsidRPr="00FB73D5" w:rsidRDefault="00FB73D5" w:rsidP="00FF36ED">
            <w:pPr>
              <w:spacing w:line="360" w:lineRule="auto"/>
              <w:ind w:left="624" w:right="284"/>
              <w:jc w:val="both"/>
              <w:rPr>
                <w:rFonts w:ascii="Times New Roman" w:hAnsi="Times New Roman" w:cs="Times New Roman"/>
                <w:sz w:val="10"/>
              </w:rPr>
            </w:pPr>
          </w:p>
          <w:p w:rsidR="00FF36ED" w:rsidRPr="000625CA" w:rsidRDefault="00FF36ED" w:rsidP="00FF36ED">
            <w:pPr>
              <w:spacing w:line="360" w:lineRule="auto"/>
              <w:ind w:left="624" w:right="284" w:firstLine="3"/>
              <w:jc w:val="both"/>
              <w:rPr>
                <w:rFonts w:ascii="Times New Roman" w:hAnsi="Times New Roman" w:cs="Times New Roman"/>
              </w:rPr>
            </w:pPr>
            <w:r w:rsidRPr="000625CA">
              <w:rPr>
                <w:rFonts w:ascii="Times New Roman" w:hAnsi="Times New Roman" w:cs="Times New Roman"/>
              </w:rPr>
              <w:t>Wells, J. (2003). The Fraud Examiners: Sleuthing Careers Bring CPAs Personal and Professional Satisfaction, Journal of Accountancy, v 196, issue 4. [Accessed 13 January 2019].</w:t>
            </w:r>
          </w:p>
          <w:p w:rsidR="004C2817" w:rsidRDefault="004C2817" w:rsidP="00DA21B8">
            <w:pPr>
              <w:spacing w:line="360" w:lineRule="auto"/>
              <w:ind w:left="288" w:right="624" w:firstLine="3"/>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163D" w:rsidP="00A851DA">
            <w:pPr>
              <w:rPr>
                <w:rFonts w:cs="Bliss-Regular"/>
                <w:color w:val="000000"/>
              </w:rPr>
            </w:pPr>
            <w:r>
              <w:rPr>
                <w:rFonts w:cs="Bliss-Regular"/>
                <w:color w:val="000000"/>
              </w:rPr>
              <w:t>Walter Philip Nyamori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3B08" w:rsidP="00A851DA">
            <w:pPr>
              <w:rPr>
                <w:rFonts w:cs="Bliss-Regular"/>
                <w:color w:val="000000"/>
              </w:rPr>
            </w:pPr>
            <w:r>
              <w:rPr>
                <w:rFonts w:cs="Bliss-Regular"/>
                <w:color w:val="000000"/>
              </w:rPr>
              <w:t>31.01.2019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07F" w:rsidRDefault="00D8507F" w:rsidP="00CB4D0A">
      <w:pPr>
        <w:spacing w:after="0" w:line="240" w:lineRule="auto"/>
      </w:pPr>
      <w:r>
        <w:separator/>
      </w:r>
    </w:p>
  </w:endnote>
  <w:endnote w:type="continuationSeparator" w:id="0">
    <w:p w:rsidR="00D8507F" w:rsidRDefault="00D850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07F" w:rsidRDefault="00D8507F" w:rsidP="00CB4D0A">
      <w:pPr>
        <w:spacing w:after="0" w:line="240" w:lineRule="auto"/>
      </w:pPr>
      <w:r>
        <w:separator/>
      </w:r>
    </w:p>
  </w:footnote>
  <w:footnote w:type="continuationSeparator" w:id="0">
    <w:p w:rsidR="00D8507F" w:rsidRDefault="00D850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90982"/>
    <w:multiLevelType w:val="hybridMultilevel"/>
    <w:tmpl w:val="D90E88CA"/>
    <w:lvl w:ilvl="0" w:tplc="116245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4E47A41"/>
    <w:multiLevelType w:val="hybridMultilevel"/>
    <w:tmpl w:val="B41C2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D14239E"/>
    <w:multiLevelType w:val="hybridMultilevel"/>
    <w:tmpl w:val="EBF4A0F0"/>
    <w:lvl w:ilvl="0" w:tplc="B7AEFDD0">
      <w:start w:val="9"/>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F02F3F"/>
    <w:multiLevelType w:val="hybridMultilevel"/>
    <w:tmpl w:val="D6F068F8"/>
    <w:lvl w:ilvl="0" w:tplc="0E703AA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335A32"/>
    <w:multiLevelType w:val="hybridMultilevel"/>
    <w:tmpl w:val="153E589A"/>
    <w:lvl w:ilvl="0" w:tplc="9FB4698C">
      <w:start w:val="1"/>
      <w:numFmt w:val="lowerRoman"/>
      <w:lvlText w:val="(%1)"/>
      <w:lvlJc w:val="left"/>
      <w:pPr>
        <w:ind w:left="540" w:hanging="360"/>
      </w:pPr>
      <w:rPr>
        <w:rFonts w:ascii="Arial" w:eastAsiaTheme="minorHAnsi" w:hAnsi="Arial" w:cs="Arial"/>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752BB8"/>
    <w:multiLevelType w:val="hybridMultilevel"/>
    <w:tmpl w:val="06AAEC02"/>
    <w:lvl w:ilvl="0" w:tplc="952091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3951F0"/>
    <w:multiLevelType w:val="hybridMultilevel"/>
    <w:tmpl w:val="459271EA"/>
    <w:lvl w:ilvl="0" w:tplc="7A848A96">
      <w:start w:val="1"/>
      <w:numFmt w:val="lowerRoman"/>
      <w:lvlText w:val="(%1)"/>
      <w:lvlJc w:val="left"/>
      <w:pPr>
        <w:ind w:left="117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63CA1134"/>
    <w:multiLevelType w:val="hybridMultilevel"/>
    <w:tmpl w:val="DC2C065E"/>
    <w:lvl w:ilvl="0" w:tplc="F5D45052">
      <w:start w:val="1"/>
      <w:numFmt w:val="lowerRoman"/>
      <w:lvlText w:val="(%1)"/>
      <w:lvlJc w:val="left"/>
      <w:pPr>
        <w:ind w:left="864" w:hanging="72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9">
    <w:nsid w:val="6FAD7FA2"/>
    <w:multiLevelType w:val="hybridMultilevel"/>
    <w:tmpl w:val="CE8C829A"/>
    <w:lvl w:ilvl="0" w:tplc="2AA445F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A674F3"/>
    <w:multiLevelType w:val="hybridMultilevel"/>
    <w:tmpl w:val="5D9E0FD8"/>
    <w:lvl w:ilvl="0" w:tplc="0DFCBEEE">
      <w:start w:val="1"/>
      <w:numFmt w:val="decimal"/>
      <w:lvlText w:val="%1."/>
      <w:lvlJc w:val="left"/>
      <w:pPr>
        <w:ind w:left="1584" w:hanging="360"/>
      </w:pPr>
      <w:rPr>
        <w:rFonts w:hint="default"/>
      </w:r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1">
    <w:nsid w:val="7D613352"/>
    <w:multiLevelType w:val="hybridMultilevel"/>
    <w:tmpl w:val="F49E047E"/>
    <w:lvl w:ilvl="0" w:tplc="4A62E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4"/>
  </w:num>
  <w:num w:numId="4">
    <w:abstractNumId w:val="10"/>
  </w:num>
  <w:num w:numId="5">
    <w:abstractNumId w:val="7"/>
  </w:num>
  <w:num w:numId="6">
    <w:abstractNumId w:val="11"/>
  </w:num>
  <w:num w:numId="7">
    <w:abstractNumId w:val="6"/>
  </w:num>
  <w:num w:numId="8">
    <w:abstractNumId w:val="2"/>
  </w:num>
  <w:num w:numId="9">
    <w:abstractNumId w:val="3"/>
  </w:num>
  <w:num w:numId="10">
    <w:abstractNumId w:val="9"/>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C98"/>
    <w:rsid w:val="00031776"/>
    <w:rsid w:val="00033055"/>
    <w:rsid w:val="00035CDD"/>
    <w:rsid w:val="00040083"/>
    <w:rsid w:val="00055992"/>
    <w:rsid w:val="000820E8"/>
    <w:rsid w:val="00084713"/>
    <w:rsid w:val="0009418B"/>
    <w:rsid w:val="000A0428"/>
    <w:rsid w:val="000A5F8B"/>
    <w:rsid w:val="000D3011"/>
    <w:rsid w:val="000D68F2"/>
    <w:rsid w:val="000E0648"/>
    <w:rsid w:val="00114AFD"/>
    <w:rsid w:val="001175EE"/>
    <w:rsid w:val="00120211"/>
    <w:rsid w:val="00143007"/>
    <w:rsid w:val="00157CF6"/>
    <w:rsid w:val="001607D1"/>
    <w:rsid w:val="00177F13"/>
    <w:rsid w:val="00182416"/>
    <w:rsid w:val="00183CDE"/>
    <w:rsid w:val="00187EB4"/>
    <w:rsid w:val="001903A1"/>
    <w:rsid w:val="001A686D"/>
    <w:rsid w:val="001F0481"/>
    <w:rsid w:val="00200C92"/>
    <w:rsid w:val="0020451E"/>
    <w:rsid w:val="00205A5D"/>
    <w:rsid w:val="00206B9D"/>
    <w:rsid w:val="0023259C"/>
    <w:rsid w:val="002432AF"/>
    <w:rsid w:val="0025320B"/>
    <w:rsid w:val="0025461F"/>
    <w:rsid w:val="0029251B"/>
    <w:rsid w:val="00292B00"/>
    <w:rsid w:val="002B0BD7"/>
    <w:rsid w:val="002B373E"/>
    <w:rsid w:val="002B573D"/>
    <w:rsid w:val="002C5CB2"/>
    <w:rsid w:val="002F779F"/>
    <w:rsid w:val="00342C9E"/>
    <w:rsid w:val="003554F5"/>
    <w:rsid w:val="00361D27"/>
    <w:rsid w:val="00371885"/>
    <w:rsid w:val="003965D1"/>
    <w:rsid w:val="003B3F5C"/>
    <w:rsid w:val="003D1741"/>
    <w:rsid w:val="003E2B87"/>
    <w:rsid w:val="003E796D"/>
    <w:rsid w:val="00402786"/>
    <w:rsid w:val="00405895"/>
    <w:rsid w:val="004058DF"/>
    <w:rsid w:val="004201D5"/>
    <w:rsid w:val="0042220A"/>
    <w:rsid w:val="00425CA6"/>
    <w:rsid w:val="00443E6F"/>
    <w:rsid w:val="004566B9"/>
    <w:rsid w:val="00475B1D"/>
    <w:rsid w:val="00477DDD"/>
    <w:rsid w:val="00486F1A"/>
    <w:rsid w:val="00490CB9"/>
    <w:rsid w:val="004A2CE2"/>
    <w:rsid w:val="004A570B"/>
    <w:rsid w:val="004C2817"/>
    <w:rsid w:val="004D1D79"/>
    <w:rsid w:val="004D373D"/>
    <w:rsid w:val="004E07E2"/>
    <w:rsid w:val="004E3CDA"/>
    <w:rsid w:val="004F4B4D"/>
    <w:rsid w:val="0050216D"/>
    <w:rsid w:val="00503D7E"/>
    <w:rsid w:val="0050778F"/>
    <w:rsid w:val="00527C11"/>
    <w:rsid w:val="00535F31"/>
    <w:rsid w:val="00562CD8"/>
    <w:rsid w:val="00574D64"/>
    <w:rsid w:val="00582198"/>
    <w:rsid w:val="00591365"/>
    <w:rsid w:val="0059426D"/>
    <w:rsid w:val="005A046D"/>
    <w:rsid w:val="005B31E4"/>
    <w:rsid w:val="005C3DE2"/>
    <w:rsid w:val="005E1316"/>
    <w:rsid w:val="005E131E"/>
    <w:rsid w:val="005E379B"/>
    <w:rsid w:val="006034F6"/>
    <w:rsid w:val="00607874"/>
    <w:rsid w:val="00607E77"/>
    <w:rsid w:val="00617BB3"/>
    <w:rsid w:val="006357F0"/>
    <w:rsid w:val="00645CDD"/>
    <w:rsid w:val="006823A7"/>
    <w:rsid w:val="00686DF6"/>
    <w:rsid w:val="00687EE8"/>
    <w:rsid w:val="006A1092"/>
    <w:rsid w:val="006C1897"/>
    <w:rsid w:val="006D3C2C"/>
    <w:rsid w:val="006E2872"/>
    <w:rsid w:val="006F787C"/>
    <w:rsid w:val="0070347F"/>
    <w:rsid w:val="0070678E"/>
    <w:rsid w:val="007147DA"/>
    <w:rsid w:val="00714FE1"/>
    <w:rsid w:val="00721DB5"/>
    <w:rsid w:val="007511A1"/>
    <w:rsid w:val="00767AA3"/>
    <w:rsid w:val="00774333"/>
    <w:rsid w:val="007E3B08"/>
    <w:rsid w:val="007F75F1"/>
    <w:rsid w:val="008065B2"/>
    <w:rsid w:val="00831C11"/>
    <w:rsid w:val="00866BF5"/>
    <w:rsid w:val="00893028"/>
    <w:rsid w:val="008A60B4"/>
    <w:rsid w:val="008A781A"/>
    <w:rsid w:val="008B3C31"/>
    <w:rsid w:val="008B64FE"/>
    <w:rsid w:val="008E42F2"/>
    <w:rsid w:val="00917A4F"/>
    <w:rsid w:val="00925B09"/>
    <w:rsid w:val="00935BF7"/>
    <w:rsid w:val="0095442C"/>
    <w:rsid w:val="0096325C"/>
    <w:rsid w:val="009638C6"/>
    <w:rsid w:val="00980480"/>
    <w:rsid w:val="00983942"/>
    <w:rsid w:val="009C37E0"/>
    <w:rsid w:val="009C3D37"/>
    <w:rsid w:val="009E075F"/>
    <w:rsid w:val="009E41F4"/>
    <w:rsid w:val="009E5BA4"/>
    <w:rsid w:val="00A01886"/>
    <w:rsid w:val="00A037E0"/>
    <w:rsid w:val="00A14B66"/>
    <w:rsid w:val="00A228B0"/>
    <w:rsid w:val="00A53E06"/>
    <w:rsid w:val="00A65CF7"/>
    <w:rsid w:val="00A804A9"/>
    <w:rsid w:val="00A81AB4"/>
    <w:rsid w:val="00A851DA"/>
    <w:rsid w:val="00AB675F"/>
    <w:rsid w:val="00AC4910"/>
    <w:rsid w:val="00AC7D5B"/>
    <w:rsid w:val="00AE1481"/>
    <w:rsid w:val="00AF3770"/>
    <w:rsid w:val="00B0415E"/>
    <w:rsid w:val="00B04678"/>
    <w:rsid w:val="00B42B34"/>
    <w:rsid w:val="00B44EEC"/>
    <w:rsid w:val="00B554D1"/>
    <w:rsid w:val="00B71BE2"/>
    <w:rsid w:val="00B869D5"/>
    <w:rsid w:val="00BA7E20"/>
    <w:rsid w:val="00BC46DF"/>
    <w:rsid w:val="00C03577"/>
    <w:rsid w:val="00C1424B"/>
    <w:rsid w:val="00C170D1"/>
    <w:rsid w:val="00C5215D"/>
    <w:rsid w:val="00C53029"/>
    <w:rsid w:val="00C65FEA"/>
    <w:rsid w:val="00C70E66"/>
    <w:rsid w:val="00C82F9C"/>
    <w:rsid w:val="00C83699"/>
    <w:rsid w:val="00CA0AC2"/>
    <w:rsid w:val="00CA15BE"/>
    <w:rsid w:val="00CB4D0A"/>
    <w:rsid w:val="00CB54BD"/>
    <w:rsid w:val="00CC2FB3"/>
    <w:rsid w:val="00CC313E"/>
    <w:rsid w:val="00CC575A"/>
    <w:rsid w:val="00CC6B92"/>
    <w:rsid w:val="00CD22A1"/>
    <w:rsid w:val="00CD79A7"/>
    <w:rsid w:val="00CF123B"/>
    <w:rsid w:val="00D039AC"/>
    <w:rsid w:val="00D0457B"/>
    <w:rsid w:val="00D30405"/>
    <w:rsid w:val="00D427DE"/>
    <w:rsid w:val="00D5587D"/>
    <w:rsid w:val="00D707CC"/>
    <w:rsid w:val="00D72366"/>
    <w:rsid w:val="00D75F3F"/>
    <w:rsid w:val="00D821FE"/>
    <w:rsid w:val="00D8507F"/>
    <w:rsid w:val="00D9163D"/>
    <w:rsid w:val="00D92F17"/>
    <w:rsid w:val="00DA21B8"/>
    <w:rsid w:val="00DB0793"/>
    <w:rsid w:val="00DB30F6"/>
    <w:rsid w:val="00DB3366"/>
    <w:rsid w:val="00DE007C"/>
    <w:rsid w:val="00DE2941"/>
    <w:rsid w:val="00E00821"/>
    <w:rsid w:val="00E04DB4"/>
    <w:rsid w:val="00E10C70"/>
    <w:rsid w:val="00E30679"/>
    <w:rsid w:val="00E4597D"/>
    <w:rsid w:val="00E54832"/>
    <w:rsid w:val="00E56A90"/>
    <w:rsid w:val="00E641CC"/>
    <w:rsid w:val="00E8348C"/>
    <w:rsid w:val="00EA30AB"/>
    <w:rsid w:val="00EB3925"/>
    <w:rsid w:val="00EC2AB4"/>
    <w:rsid w:val="00EE114F"/>
    <w:rsid w:val="00F0425D"/>
    <w:rsid w:val="00F40FED"/>
    <w:rsid w:val="00F54BC6"/>
    <w:rsid w:val="00F64D9B"/>
    <w:rsid w:val="00F70DC5"/>
    <w:rsid w:val="00F96EB3"/>
    <w:rsid w:val="00FB73D5"/>
    <w:rsid w:val="00FE45E2"/>
    <w:rsid w:val="00FF36ED"/>
    <w:rsid w:val="00FF5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525F90-625B-45F5-9D91-07377EA6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511A1"/>
    <w:rPr>
      <w:color w:val="0000FF"/>
      <w:u w:val="single"/>
    </w:rPr>
  </w:style>
  <w:style w:type="paragraph" w:styleId="NoSpacing">
    <w:name w:val="No Spacing"/>
    <w:uiPriority w:val="1"/>
    <w:qFormat/>
    <w:rsid w:val="000D68F2"/>
    <w:pPr>
      <w:spacing w:after="0" w:line="240" w:lineRule="auto"/>
    </w:pPr>
    <w:rPr>
      <w:lang w:val="en-US"/>
    </w:rPr>
  </w:style>
  <w:style w:type="character" w:customStyle="1" w:styleId="Mention">
    <w:name w:val="Mention"/>
    <w:basedOn w:val="DefaultParagraphFont"/>
    <w:uiPriority w:val="99"/>
    <w:semiHidden/>
    <w:unhideWhenUsed/>
    <w:rsid w:val="00205A5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srn.com/abstarct=25968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y.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delloite.com/nz/en/pages/finance/articles/fraud-policies-why-you-need-one.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icpa.org" TargetMode="External"/><Relationship Id="rId4" Type="http://schemas.openxmlformats.org/officeDocument/2006/relationships/settings" Target="settings.xml"/><Relationship Id="rId9" Type="http://schemas.openxmlformats.org/officeDocument/2006/relationships/hyperlink" Target="http://www.acfe.com/uploadedFiles/ACFE_Website/Content/review/examreview/18-fraud-risk-assessment.pdf" TargetMode="External"/><Relationship Id="rId14" Type="http://schemas.openxmlformats.org/officeDocument/2006/relationships/hyperlink" Target="https://www.acfe.com/uploadedFiles/ACFE_Website/Content/european/Course_Materials/2014/cpp/5B-Piero-Matrician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35CB6-06B4-4978-85AB-DE7827F2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Philip Nyamori</cp:lastModifiedBy>
  <cp:revision>3</cp:revision>
  <cp:lastPrinted>2019-01-31T13:00:00Z</cp:lastPrinted>
  <dcterms:created xsi:type="dcterms:W3CDTF">2019-01-31T12:52:00Z</dcterms:created>
  <dcterms:modified xsi:type="dcterms:W3CDTF">2019-01-31T13:38:00Z</dcterms:modified>
</cp:coreProperties>
</file>