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46A95B"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236AC5B" wp14:editId="067ED15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5DBEC16" w14:textId="50FD3253" w:rsidR="00607874" w:rsidRDefault="00C91E47"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A31A583" wp14:editId="73A9B7CD">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93CB3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9E8CFBC"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31A583"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D93CB3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9E8CFBC" w14:textId="77777777" w:rsidR="00405895" w:rsidRDefault="00405895"/>
                  </w:txbxContent>
                </v:textbox>
              </v:shape>
            </w:pict>
          </mc:Fallback>
        </mc:AlternateContent>
      </w:r>
    </w:p>
    <w:p w14:paraId="70FCF4B6" w14:textId="77777777" w:rsidR="00607874" w:rsidRDefault="00607874" w:rsidP="00A851DA">
      <w:pPr>
        <w:rPr>
          <w:lang w:val="en-US"/>
        </w:rPr>
      </w:pPr>
    </w:p>
    <w:p w14:paraId="3344D976" w14:textId="77777777" w:rsidR="00607874" w:rsidRDefault="00607874" w:rsidP="00A851DA">
      <w:pPr>
        <w:rPr>
          <w:lang w:val="en-US"/>
        </w:rPr>
      </w:pPr>
    </w:p>
    <w:p w14:paraId="73575AB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0C5FAFD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3FBF9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DA63583" w14:textId="77777777" w:rsidR="00A851DA" w:rsidRPr="00B0415E" w:rsidRDefault="00C91E47">
            <w:pPr>
              <w:pStyle w:val="Default"/>
              <w:rPr>
                <w:rFonts w:asciiTheme="minorHAnsi" w:hAnsiTheme="minorHAnsi"/>
              </w:rPr>
            </w:pPr>
            <w:r>
              <w:rPr>
                <w:rFonts w:asciiTheme="minorHAnsi" w:hAnsiTheme="minorHAnsi"/>
              </w:rPr>
              <w:t>Mufutau Salako</w:t>
            </w:r>
          </w:p>
        </w:tc>
      </w:tr>
      <w:tr w:rsidR="00A851DA" w:rsidRPr="00B0415E" w14:paraId="2BD737A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E9AF5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8F9379D" w14:textId="77777777" w:rsidR="00A851DA" w:rsidRPr="00B0415E" w:rsidRDefault="00C91E47">
            <w:pPr>
              <w:pStyle w:val="Default"/>
              <w:rPr>
                <w:rFonts w:asciiTheme="minorHAnsi" w:hAnsiTheme="minorHAnsi"/>
              </w:rPr>
            </w:pPr>
            <w:r>
              <w:rPr>
                <w:rFonts w:asciiTheme="minorHAnsi" w:hAnsiTheme="minorHAnsi"/>
              </w:rPr>
              <w:t>7235</w:t>
            </w:r>
          </w:p>
        </w:tc>
      </w:tr>
      <w:tr w:rsidR="00A851DA" w:rsidRPr="00B0415E" w14:paraId="71CDB53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80108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E064690" w14:textId="77777777" w:rsidR="00A851DA" w:rsidRPr="00B0415E" w:rsidRDefault="00C91E47">
            <w:pPr>
              <w:pStyle w:val="Default"/>
              <w:rPr>
                <w:rFonts w:asciiTheme="minorHAnsi" w:hAnsiTheme="minorHAnsi"/>
              </w:rPr>
            </w:pPr>
            <w:r>
              <w:rPr>
                <w:rFonts w:asciiTheme="minorHAnsi" w:hAnsiTheme="minorHAnsi"/>
              </w:rPr>
              <w:t xml:space="preserve">Risk management diploma </w:t>
            </w:r>
          </w:p>
        </w:tc>
      </w:tr>
      <w:tr w:rsidR="00A851DA" w:rsidRPr="00B0415E" w14:paraId="7858D6B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ACD91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1111B80" w14:textId="77777777" w:rsidR="00A851DA" w:rsidRPr="00B0415E" w:rsidRDefault="00C91E47">
            <w:r>
              <w:t>6</w:t>
            </w:r>
          </w:p>
        </w:tc>
      </w:tr>
    </w:tbl>
    <w:p w14:paraId="0332F751" w14:textId="77777777" w:rsidR="00CC2FB3" w:rsidRDefault="00CC2FB3" w:rsidP="00A851DA">
      <w:pPr>
        <w:rPr>
          <w:b/>
          <w:lang w:val="en-US"/>
        </w:rPr>
      </w:pPr>
    </w:p>
    <w:p w14:paraId="55468C35" w14:textId="77777777" w:rsidR="00443E6F" w:rsidRDefault="00527C11" w:rsidP="00A851DA">
      <w:pPr>
        <w:rPr>
          <w:b/>
          <w:sz w:val="28"/>
          <w:lang w:val="en-US"/>
        </w:rPr>
      </w:pPr>
      <w:r w:rsidRPr="00443E6F">
        <w:rPr>
          <w:b/>
          <w:sz w:val="28"/>
          <w:lang w:val="en-US"/>
        </w:rPr>
        <w:t>Marking Criteria:</w:t>
      </w:r>
    </w:p>
    <w:p w14:paraId="0E7DA66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5664D9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60DDD962" w14:textId="77777777" w:rsidTr="00CC2FB3">
        <w:tc>
          <w:tcPr>
            <w:tcW w:w="9242" w:type="dxa"/>
          </w:tcPr>
          <w:p w14:paraId="40BA3600" w14:textId="77777777" w:rsidR="00C91E47" w:rsidRPr="00C91E47" w:rsidRDefault="00C91E47" w:rsidP="00C91E47">
            <w:pPr>
              <w:suppressAutoHyphens/>
              <w:autoSpaceDN w:val="0"/>
              <w:spacing w:after="160" w:line="256" w:lineRule="auto"/>
              <w:textAlignment w:val="baseline"/>
              <w:rPr>
                <w:rFonts w:ascii="Calibri" w:eastAsia="Calibri" w:hAnsi="Calibri" w:cs="Times New Roman"/>
              </w:rPr>
            </w:pPr>
            <w:r w:rsidRPr="00C91E47">
              <w:rPr>
                <w:rFonts w:ascii="Calibri" w:eastAsia="Calibri" w:hAnsi="Calibri" w:cs="Times New Roman"/>
              </w:rPr>
              <w:t>1] The principles of assessing risk are;</w:t>
            </w:r>
          </w:p>
          <w:p w14:paraId="42B669AE" w14:textId="77777777" w:rsidR="00C91E47" w:rsidRPr="00C91E47" w:rsidRDefault="00C91E47" w:rsidP="00C91E47">
            <w:pPr>
              <w:suppressAutoHyphens/>
              <w:autoSpaceDN w:val="0"/>
              <w:spacing w:after="160" w:line="256" w:lineRule="auto"/>
              <w:textAlignment w:val="baseline"/>
              <w:rPr>
                <w:rFonts w:ascii="Calibri" w:eastAsia="Calibri" w:hAnsi="Calibri" w:cs="Times New Roman"/>
              </w:rPr>
            </w:pPr>
            <w:r w:rsidRPr="00C91E47">
              <w:rPr>
                <w:rFonts w:ascii="Calibri" w:eastAsia="Calibri" w:hAnsi="Calibri" w:cs="Times New Roman"/>
              </w:rPr>
              <w:t>. Ensure that a clearly structured process is in place which both possibility and impact are considered for each risk.</w:t>
            </w:r>
          </w:p>
          <w:p w14:paraId="6B00FD38" w14:textId="77777777" w:rsidR="00C91E47" w:rsidRPr="00C91E47" w:rsidRDefault="00C91E47" w:rsidP="00C91E47">
            <w:pPr>
              <w:suppressAutoHyphens/>
              <w:autoSpaceDN w:val="0"/>
              <w:spacing w:after="160" w:line="256" w:lineRule="auto"/>
              <w:textAlignment w:val="baseline"/>
              <w:rPr>
                <w:rFonts w:ascii="Calibri" w:eastAsia="Calibri" w:hAnsi="Calibri" w:cs="Times New Roman"/>
              </w:rPr>
            </w:pPr>
            <w:r w:rsidRPr="00C91E47">
              <w:rPr>
                <w:rFonts w:ascii="Calibri" w:eastAsia="Calibri" w:hAnsi="Calibri" w:cs="Times New Roman"/>
              </w:rPr>
              <w:t>. Distinguish between residual and inherent risk</w:t>
            </w:r>
          </w:p>
          <w:p w14:paraId="1FFF3259" w14:textId="77777777" w:rsidR="00C91E47" w:rsidRPr="00C91E47" w:rsidRDefault="00C91E47" w:rsidP="00C91E47">
            <w:pPr>
              <w:suppressAutoHyphens/>
              <w:autoSpaceDN w:val="0"/>
              <w:spacing w:after="160" w:line="256" w:lineRule="auto"/>
              <w:textAlignment w:val="baseline"/>
              <w:rPr>
                <w:rFonts w:ascii="Calibri" w:eastAsia="Calibri" w:hAnsi="Calibri" w:cs="Times New Roman"/>
              </w:rPr>
            </w:pPr>
            <w:r w:rsidRPr="00C91E47">
              <w:rPr>
                <w:rFonts w:ascii="Calibri" w:eastAsia="Calibri" w:hAnsi="Calibri" w:cs="Times New Roman"/>
              </w:rPr>
              <w:t>. Record the risk assessment in a manner that facilitates observing and identifying risk priorities.</w:t>
            </w:r>
          </w:p>
          <w:p w14:paraId="1C3B547B" w14:textId="77777777" w:rsidR="00C91E47" w:rsidRPr="00C91E47" w:rsidRDefault="00C91E47" w:rsidP="00C91E47">
            <w:pPr>
              <w:suppressAutoHyphens/>
              <w:autoSpaceDN w:val="0"/>
              <w:spacing w:after="160" w:line="256" w:lineRule="auto"/>
              <w:textAlignment w:val="baseline"/>
              <w:rPr>
                <w:rFonts w:ascii="Calibri" w:eastAsia="Calibri" w:hAnsi="Calibri" w:cs="Times New Roman"/>
              </w:rPr>
            </w:pPr>
            <w:r w:rsidRPr="00C91E47">
              <w:rPr>
                <w:rFonts w:ascii="Calibri" w:eastAsia="Calibri" w:hAnsi="Calibri" w:cs="Times New Roman"/>
              </w:rPr>
              <w:t>Ii] The importance of risk assessment is that it provides several benefits such as providing an order of pain or gain for each opportunity and risk that has been identified</w:t>
            </w:r>
          </w:p>
          <w:p w14:paraId="2B24A57D" w14:textId="77777777" w:rsidR="00C91E47" w:rsidRPr="00C91E47" w:rsidRDefault="00C91E47" w:rsidP="00C91E47">
            <w:pPr>
              <w:suppressAutoHyphens/>
              <w:autoSpaceDN w:val="0"/>
              <w:spacing w:after="160" w:line="256" w:lineRule="auto"/>
              <w:textAlignment w:val="baseline"/>
              <w:rPr>
                <w:rFonts w:ascii="Calibri" w:eastAsia="Calibri" w:hAnsi="Calibri" w:cs="Times New Roman"/>
              </w:rPr>
            </w:pPr>
            <w:r w:rsidRPr="00C91E47">
              <w:rPr>
                <w:rFonts w:ascii="Calibri" w:eastAsia="Calibri" w:hAnsi="Calibri" w:cs="Times New Roman"/>
              </w:rPr>
              <w:t xml:space="preserve">Iii] These are the following activities take place in risk assessment process e.g. </w:t>
            </w:r>
          </w:p>
          <w:p w14:paraId="37ED65BB" w14:textId="77777777" w:rsidR="00C91E47" w:rsidRPr="00C91E47" w:rsidRDefault="00C91E47" w:rsidP="00C91E47">
            <w:pPr>
              <w:suppressAutoHyphens/>
              <w:autoSpaceDN w:val="0"/>
              <w:spacing w:after="160" w:line="256" w:lineRule="auto"/>
              <w:textAlignment w:val="baseline"/>
              <w:rPr>
                <w:rFonts w:ascii="Calibri" w:eastAsia="Calibri" w:hAnsi="Calibri" w:cs="Times New Roman"/>
              </w:rPr>
            </w:pPr>
            <w:r w:rsidRPr="00C91E47">
              <w:rPr>
                <w:rFonts w:ascii="Calibri" w:eastAsia="Calibri" w:hAnsi="Calibri" w:cs="Times New Roman"/>
              </w:rPr>
              <w:t xml:space="preserve">. understand and assess the probability of the opportunity or risk occurring </w:t>
            </w:r>
          </w:p>
          <w:p w14:paraId="29648F0D" w14:textId="77777777" w:rsidR="00C91E47" w:rsidRPr="00C91E47" w:rsidRDefault="00C91E47" w:rsidP="00C91E47">
            <w:pPr>
              <w:suppressAutoHyphens/>
              <w:autoSpaceDN w:val="0"/>
              <w:spacing w:after="160" w:line="256" w:lineRule="auto"/>
              <w:textAlignment w:val="baseline"/>
              <w:rPr>
                <w:rFonts w:ascii="Calibri" w:eastAsia="Calibri" w:hAnsi="Calibri" w:cs="Times New Roman"/>
              </w:rPr>
            </w:pPr>
            <w:r w:rsidRPr="00C91E47">
              <w:rPr>
                <w:rFonts w:ascii="Calibri" w:eastAsia="Calibri" w:hAnsi="Calibri" w:cs="Times New Roman"/>
              </w:rPr>
              <w:t>. evaluate the impact of the opportunity or risk in terms of the project or business objectives.</w:t>
            </w:r>
          </w:p>
          <w:p w14:paraId="11D0B094" w14:textId="77777777" w:rsidR="00C91E47" w:rsidRPr="00C91E47" w:rsidRDefault="00C91E47" w:rsidP="00C91E47">
            <w:pPr>
              <w:suppressAutoHyphens/>
              <w:autoSpaceDN w:val="0"/>
              <w:spacing w:after="160" w:line="256" w:lineRule="auto"/>
              <w:textAlignment w:val="baseline"/>
              <w:rPr>
                <w:rFonts w:ascii="Calibri" w:eastAsia="Calibri" w:hAnsi="Calibri" w:cs="Times New Roman"/>
              </w:rPr>
            </w:pPr>
            <w:r w:rsidRPr="00C91E47">
              <w:rPr>
                <w:rFonts w:ascii="Calibri" w:eastAsia="Calibri" w:hAnsi="Calibri" w:cs="Times New Roman"/>
              </w:rPr>
              <w:t xml:space="preserve">. understand the interdependence between the risks. Ask if they would occur sequentially, so that one risk potentially triggers another or concurrently or in a parallel </w:t>
            </w:r>
          </w:p>
          <w:p w14:paraId="0E12E2DA" w14:textId="77777777" w:rsidR="00C91E47" w:rsidRPr="00C91E47" w:rsidRDefault="00C91E47" w:rsidP="00C91E47">
            <w:pPr>
              <w:suppressAutoHyphens/>
              <w:autoSpaceDN w:val="0"/>
              <w:spacing w:after="160" w:line="256" w:lineRule="auto"/>
              <w:textAlignment w:val="baseline"/>
              <w:rPr>
                <w:rFonts w:ascii="Calibri" w:eastAsia="Calibri" w:hAnsi="Calibri" w:cs="Times New Roman"/>
              </w:rPr>
            </w:pPr>
            <w:r w:rsidRPr="00C91E47">
              <w:rPr>
                <w:rFonts w:ascii="Calibri" w:eastAsia="Calibri" w:hAnsi="Calibri" w:cs="Times New Roman"/>
              </w:rPr>
              <w:t>. document the findings</w:t>
            </w:r>
          </w:p>
          <w:p w14:paraId="05958ACF" w14:textId="77777777" w:rsidR="00C91E47" w:rsidRPr="00C91E47" w:rsidRDefault="00C91E47" w:rsidP="00C91E47">
            <w:pPr>
              <w:suppressAutoHyphens/>
              <w:autoSpaceDN w:val="0"/>
              <w:spacing w:after="160" w:line="256" w:lineRule="auto"/>
              <w:textAlignment w:val="baseline"/>
              <w:rPr>
                <w:rFonts w:ascii="Calibri" w:eastAsia="Calibri" w:hAnsi="Calibri" w:cs="Times New Roman"/>
              </w:rPr>
            </w:pPr>
            <w:r w:rsidRPr="00C91E47">
              <w:rPr>
                <w:rFonts w:ascii="Calibri" w:eastAsia="Calibri" w:hAnsi="Calibri" w:cs="Times New Roman"/>
              </w:rPr>
              <w:t>. Update the risk log, register or list</w:t>
            </w:r>
          </w:p>
          <w:p w14:paraId="54FAD0DC" w14:textId="77777777" w:rsidR="00C91E47" w:rsidRPr="00C91E47" w:rsidRDefault="00C91E47" w:rsidP="00C91E47">
            <w:pPr>
              <w:suppressAutoHyphens/>
              <w:autoSpaceDN w:val="0"/>
              <w:spacing w:after="160" w:line="256" w:lineRule="auto"/>
              <w:textAlignment w:val="baseline"/>
              <w:rPr>
                <w:rFonts w:ascii="Calibri" w:eastAsia="Calibri" w:hAnsi="Calibri" w:cs="Times New Roman"/>
              </w:rPr>
            </w:pPr>
            <w:r w:rsidRPr="00C91E47">
              <w:rPr>
                <w:rFonts w:ascii="Calibri" w:eastAsia="Calibri" w:hAnsi="Calibri" w:cs="Times New Roman"/>
              </w:rPr>
              <w:t>Iv] Risk appetite is defined as the amount of risk a business is prepared to accept or be exposed to at any point in time. risk appetite is also known as risk preference, attitude, tolerance or capacity.</w:t>
            </w:r>
          </w:p>
          <w:p w14:paraId="352B6176" w14:textId="77777777" w:rsidR="00C91E47" w:rsidRPr="00C91E47" w:rsidRDefault="00C91E47" w:rsidP="00C91E47">
            <w:pPr>
              <w:suppressAutoHyphens/>
              <w:autoSpaceDN w:val="0"/>
              <w:spacing w:after="160" w:line="256" w:lineRule="auto"/>
              <w:textAlignment w:val="baseline"/>
              <w:rPr>
                <w:rFonts w:ascii="Calibri" w:eastAsia="Calibri" w:hAnsi="Calibri" w:cs="Times New Roman"/>
              </w:rPr>
            </w:pPr>
            <w:r w:rsidRPr="00C91E47">
              <w:rPr>
                <w:rFonts w:ascii="Calibri" w:eastAsia="Calibri" w:hAnsi="Calibri" w:cs="Times New Roman"/>
              </w:rPr>
              <w:t>V] The activities that take place in risk management are;</w:t>
            </w:r>
          </w:p>
          <w:p w14:paraId="5C46C807" w14:textId="77777777" w:rsidR="00C91E47" w:rsidRPr="00C91E47" w:rsidRDefault="00C91E47" w:rsidP="00C91E47">
            <w:pPr>
              <w:suppressAutoHyphens/>
              <w:autoSpaceDN w:val="0"/>
              <w:spacing w:after="160" w:line="256" w:lineRule="auto"/>
              <w:textAlignment w:val="baseline"/>
              <w:rPr>
                <w:rFonts w:ascii="Calibri" w:eastAsia="Calibri" w:hAnsi="Calibri" w:cs="Times New Roman"/>
              </w:rPr>
            </w:pPr>
            <w:r w:rsidRPr="00C91E47">
              <w:rPr>
                <w:rFonts w:ascii="Calibri" w:eastAsia="Calibri" w:hAnsi="Calibri" w:cs="Times New Roman"/>
              </w:rPr>
              <w:t>. Executing; risk response actions</w:t>
            </w:r>
          </w:p>
          <w:p w14:paraId="22749E6B" w14:textId="77777777" w:rsidR="00C91E47" w:rsidRPr="00C91E47" w:rsidRDefault="00C91E47" w:rsidP="00C91E47">
            <w:pPr>
              <w:suppressAutoHyphens/>
              <w:autoSpaceDN w:val="0"/>
              <w:spacing w:after="160" w:line="256" w:lineRule="auto"/>
              <w:textAlignment w:val="baseline"/>
              <w:rPr>
                <w:rFonts w:ascii="Calibri" w:eastAsia="Calibri" w:hAnsi="Calibri" w:cs="Times New Roman"/>
              </w:rPr>
            </w:pPr>
            <w:r w:rsidRPr="00C91E47">
              <w:rPr>
                <w:rFonts w:ascii="Calibri" w:eastAsia="Calibri" w:hAnsi="Calibri" w:cs="Times New Roman"/>
              </w:rPr>
              <w:lastRenderedPageBreak/>
              <w:t>. Monitoring; the efficiency of risk management action and</w:t>
            </w:r>
          </w:p>
          <w:p w14:paraId="6EEE3B98" w14:textId="77777777" w:rsidR="00C91E47" w:rsidRPr="00C91E47" w:rsidRDefault="00C91E47" w:rsidP="00C91E47">
            <w:pPr>
              <w:suppressAutoHyphens/>
              <w:autoSpaceDN w:val="0"/>
              <w:spacing w:after="160" w:line="256" w:lineRule="auto"/>
              <w:textAlignment w:val="baseline"/>
              <w:rPr>
                <w:rFonts w:ascii="Calibri" w:eastAsia="Calibri" w:hAnsi="Calibri" w:cs="Times New Roman"/>
              </w:rPr>
            </w:pPr>
            <w:r w:rsidRPr="00C91E47">
              <w:rPr>
                <w:rFonts w:ascii="Calibri" w:eastAsia="Calibri" w:hAnsi="Calibri" w:cs="Times New Roman"/>
              </w:rPr>
              <w:t>. Controlling; intervening when events are not adhering to the plan.</w:t>
            </w:r>
          </w:p>
          <w:p w14:paraId="4471366C" w14:textId="77777777" w:rsidR="00C91E47" w:rsidRPr="00C91E47" w:rsidRDefault="00C91E47" w:rsidP="00C91E47">
            <w:pPr>
              <w:suppressAutoHyphens/>
              <w:autoSpaceDN w:val="0"/>
              <w:spacing w:after="160" w:line="256" w:lineRule="auto"/>
              <w:textAlignment w:val="baseline"/>
              <w:rPr>
                <w:rFonts w:ascii="Calibri" w:eastAsia="Calibri" w:hAnsi="Calibri" w:cs="Times New Roman"/>
              </w:rPr>
            </w:pPr>
            <w:r w:rsidRPr="00C91E47">
              <w:rPr>
                <w:rFonts w:ascii="Calibri" w:eastAsia="Calibri" w:hAnsi="Calibri" w:cs="Times New Roman"/>
              </w:rPr>
              <w:t>Vi] Influence diagram is a formal technique which can be transformed into a comparable decision tree and evaluated further.</w:t>
            </w:r>
          </w:p>
          <w:p w14:paraId="46419EFB" w14:textId="77777777" w:rsidR="00C91E47" w:rsidRPr="00C91E47" w:rsidRDefault="00C91E47" w:rsidP="00C91E47">
            <w:pPr>
              <w:suppressAutoHyphens/>
              <w:autoSpaceDN w:val="0"/>
              <w:spacing w:after="160" w:line="256" w:lineRule="auto"/>
              <w:textAlignment w:val="baseline"/>
              <w:rPr>
                <w:rFonts w:ascii="Calibri" w:eastAsia="Calibri" w:hAnsi="Calibri" w:cs="Times New Roman"/>
              </w:rPr>
            </w:pPr>
            <w:r w:rsidRPr="00C91E47">
              <w:rPr>
                <w:rFonts w:ascii="Calibri" w:eastAsia="Calibri" w:hAnsi="Calibri" w:cs="Times New Roman"/>
              </w:rPr>
              <w:t>Ii] It used for decision analysis these common notations. [</w:t>
            </w:r>
            <w:r w:rsidRPr="00C91E47">
              <w:rPr>
                <w:rFonts w:ascii="Calibri" w:eastAsia="Calibri" w:hAnsi="Calibri" w:cs="Times New Roman"/>
              </w:rPr>
              <w:t>I</w:t>
            </w:r>
            <w:r w:rsidRPr="00C91E47">
              <w:rPr>
                <w:rFonts w:ascii="Calibri" w:eastAsia="Calibri" w:hAnsi="Calibri" w:cs="Times New Roman"/>
              </w:rPr>
              <w:t>] Squares represent decision nodes [ii] diamond represent values [iii] circles represent uncertain or change event [iv] double circles represent those outcomes that are known at the time when inputs are given</w:t>
            </w:r>
          </w:p>
          <w:p w14:paraId="5E7CE38A" w14:textId="77777777" w:rsidR="00C91E47" w:rsidRPr="00C91E47" w:rsidRDefault="00C91E47" w:rsidP="00C91E47">
            <w:pPr>
              <w:suppressAutoHyphens/>
              <w:autoSpaceDN w:val="0"/>
              <w:spacing w:after="160" w:line="256" w:lineRule="auto"/>
              <w:textAlignment w:val="baseline"/>
              <w:rPr>
                <w:rFonts w:ascii="Calibri" w:eastAsia="Calibri" w:hAnsi="Calibri" w:cs="Times New Roman"/>
              </w:rPr>
            </w:pPr>
            <w:r w:rsidRPr="00C91E47">
              <w:rPr>
                <w:rFonts w:ascii="Calibri" w:eastAsia="Calibri" w:hAnsi="Calibri" w:cs="Times New Roman"/>
              </w:rPr>
              <w:t>2A] Risk register is an outcome of the proceeding process. The register should contain at least a complete description of the risk and risk categories with each risk having a unique reference number. The risk should be listed under the related risk categories. Furthermore, the risk owner and risk manager should be named whenever possible. If deemed useful, the register may include supplementary columns namely: notes to record background information on the risk and impact and to describe the impact of each individual risk on the business.</w:t>
            </w:r>
          </w:p>
          <w:p w14:paraId="78321599" w14:textId="77777777" w:rsidR="00C91E47" w:rsidRPr="00C91E47" w:rsidRDefault="00C91E47" w:rsidP="00C91E47">
            <w:pPr>
              <w:suppressAutoHyphens/>
              <w:autoSpaceDN w:val="0"/>
              <w:spacing w:after="160" w:line="256" w:lineRule="auto"/>
              <w:textAlignment w:val="baseline"/>
              <w:rPr>
                <w:rFonts w:ascii="Calibri" w:eastAsia="Calibri" w:hAnsi="Calibri" w:cs="Times New Roman"/>
              </w:rPr>
            </w:pPr>
            <w:r w:rsidRPr="00C91E47">
              <w:rPr>
                <w:rFonts w:ascii="Calibri" w:eastAsia="Calibri" w:hAnsi="Calibri" w:cs="Times New Roman"/>
              </w:rPr>
              <w:t xml:space="preserve">2B] Profit and loss account; This provides information on the expected profit for a specified period. low levels of projected profits will expose a company to a number of related risks in terms of business durability and operating practicalities. </w:t>
            </w:r>
          </w:p>
          <w:p w14:paraId="34738113" w14:textId="77777777" w:rsidR="00C91E47" w:rsidRPr="00C91E47" w:rsidRDefault="00C91E47" w:rsidP="00C91E47">
            <w:pPr>
              <w:suppressAutoHyphens/>
              <w:autoSpaceDN w:val="0"/>
              <w:spacing w:after="160" w:line="256" w:lineRule="auto"/>
              <w:textAlignment w:val="baseline"/>
              <w:rPr>
                <w:rFonts w:ascii="Calibri" w:eastAsia="Calibri" w:hAnsi="Calibri" w:cs="Times New Roman"/>
              </w:rPr>
            </w:pPr>
            <w:r w:rsidRPr="00C91E47">
              <w:rPr>
                <w:rFonts w:ascii="Calibri" w:eastAsia="Calibri" w:hAnsi="Calibri" w:cs="Times New Roman"/>
              </w:rPr>
              <w:t>2C] Balance sheet; Similarly, the projected balance sheet should be critically examined to ensure the reliability of the projections with reference to the validity of the assumptions made and the completeness of the input data. The balance sheet will provide an indication of the vulnerability of a business to bad debts or late payments.</w:t>
            </w:r>
          </w:p>
          <w:p w14:paraId="4E2B7E5C" w14:textId="77777777" w:rsidR="00C91E47" w:rsidRPr="00C91E47" w:rsidRDefault="00C91E47" w:rsidP="00C91E47">
            <w:pPr>
              <w:suppressAutoHyphens/>
              <w:autoSpaceDN w:val="0"/>
              <w:spacing w:after="160" w:line="256" w:lineRule="auto"/>
              <w:textAlignment w:val="baseline"/>
              <w:rPr>
                <w:rFonts w:ascii="Calibri" w:eastAsia="Calibri" w:hAnsi="Calibri" w:cs="Times New Roman"/>
              </w:rPr>
            </w:pPr>
            <w:r w:rsidRPr="00C91E47">
              <w:rPr>
                <w:rFonts w:ascii="Calibri" w:eastAsia="Calibri" w:hAnsi="Calibri" w:cs="Times New Roman"/>
              </w:rPr>
              <w:t xml:space="preserve">3a] Risk responses which are also known as risk reductions may also be called treat or mitigate. Risk diversification is a form of risk reduction whereby risk is dispersed, such as by investing in multiple stocks rather than a single stock. </w:t>
            </w:r>
          </w:p>
          <w:p w14:paraId="759B5BB2" w14:textId="77777777" w:rsidR="00C91E47" w:rsidRPr="00C91E47" w:rsidRDefault="00C91E47" w:rsidP="00C91E47">
            <w:pPr>
              <w:suppressAutoHyphens/>
              <w:autoSpaceDN w:val="0"/>
              <w:spacing w:after="160" w:line="256" w:lineRule="auto"/>
              <w:textAlignment w:val="baseline"/>
              <w:rPr>
                <w:rFonts w:ascii="Calibri" w:eastAsia="Calibri" w:hAnsi="Calibri" w:cs="Times New Roman"/>
              </w:rPr>
            </w:pPr>
            <w:r w:rsidRPr="00C91E47">
              <w:rPr>
                <w:rFonts w:ascii="Calibri" w:eastAsia="Calibri" w:hAnsi="Calibri" w:cs="Times New Roman"/>
              </w:rPr>
              <w:t xml:space="preserve">Diversification is the technique uses by people who do not want to put all their eggs in one basket in his focus on the treatment of hazardous materials in a manufacturing context to prevent personal injury, Wilkinson [2003] describes two general approaches that may be taken to reduce risk, reducing the likelihood of a risk occurring and limiting the loss should the risk </w:t>
            </w:r>
            <w:r w:rsidRPr="00C91E47">
              <w:rPr>
                <w:rFonts w:ascii="Calibri" w:eastAsia="Calibri" w:hAnsi="Calibri" w:cs="Times New Roman"/>
              </w:rPr>
              <w:t>materialize</w:t>
            </w:r>
            <w:r w:rsidRPr="00C91E47">
              <w:rPr>
                <w:rFonts w:ascii="Calibri" w:eastAsia="Calibri" w:hAnsi="Calibri" w:cs="Times New Roman"/>
              </w:rPr>
              <w:t>. Wilkinson describes methods to reduce the likelihood of occurrence of risks through strategies including protection, controls and maintenance. Method of risk reduction include the act of risk spreading such as dispersing chemical storage.</w:t>
            </w:r>
          </w:p>
          <w:p w14:paraId="6419B86B" w14:textId="77777777" w:rsidR="00C91E47" w:rsidRPr="00C91E47" w:rsidRDefault="00C91E47" w:rsidP="00C91E47">
            <w:pPr>
              <w:suppressAutoHyphens/>
              <w:autoSpaceDN w:val="0"/>
              <w:spacing w:after="160" w:line="256" w:lineRule="auto"/>
              <w:textAlignment w:val="baseline"/>
              <w:rPr>
                <w:rFonts w:ascii="Calibri" w:eastAsia="Calibri" w:hAnsi="Calibri" w:cs="Times New Roman"/>
              </w:rPr>
            </w:pPr>
            <w:r w:rsidRPr="00C91E47">
              <w:rPr>
                <w:rFonts w:ascii="Calibri" w:eastAsia="Calibri" w:hAnsi="Calibri" w:cs="Times New Roman"/>
              </w:rPr>
              <w:t>3b] Risk transfer is also known as deficit. Risk transfer is the method used to move</w:t>
            </w:r>
            <w:r>
              <w:rPr>
                <w:rFonts w:ascii="Calibri" w:eastAsia="Calibri" w:hAnsi="Calibri" w:cs="Times New Roman"/>
              </w:rPr>
              <w:t xml:space="preserve"> a risk onto an external organiz</w:t>
            </w:r>
            <w:r w:rsidRPr="00C91E47">
              <w:rPr>
                <w:rFonts w:ascii="Calibri" w:eastAsia="Calibri" w:hAnsi="Calibri" w:cs="Times New Roman"/>
              </w:rPr>
              <w:t>ation, entity or business. The main techniques in which risks are often transferred are contracts and financial agreements.</w:t>
            </w:r>
          </w:p>
          <w:p w14:paraId="49C4CB58" w14:textId="77777777" w:rsidR="00C91E47" w:rsidRPr="00C91E47" w:rsidRDefault="00C91E47" w:rsidP="00C91E47">
            <w:pPr>
              <w:suppressAutoHyphens/>
              <w:autoSpaceDN w:val="0"/>
              <w:spacing w:after="160" w:line="256" w:lineRule="auto"/>
              <w:textAlignment w:val="baseline"/>
              <w:rPr>
                <w:rFonts w:ascii="Calibri" w:eastAsia="Calibri" w:hAnsi="Calibri" w:cs="Times New Roman"/>
              </w:rPr>
            </w:pPr>
            <w:r w:rsidRPr="00C91E47">
              <w:rPr>
                <w:rFonts w:ascii="Calibri" w:eastAsia="Calibri" w:hAnsi="Calibri" w:cs="Times New Roman"/>
              </w:rPr>
              <w:t>Transferring a risk does not decrease its possible severity, instead, the risk simply shifted to another party, sometimes transfer can increase the effect of the risk significantly, especially if the receiving party is not aware that it expected to absorb it. Taking out insurance is a common form of risk transfer.</w:t>
            </w:r>
          </w:p>
          <w:p w14:paraId="1DB9CD15" w14:textId="77777777" w:rsidR="00C91E47" w:rsidRPr="00C91E47" w:rsidRDefault="00C91E47" w:rsidP="00C91E47">
            <w:pPr>
              <w:suppressAutoHyphens/>
              <w:autoSpaceDN w:val="0"/>
              <w:spacing w:after="160" w:line="256" w:lineRule="auto"/>
              <w:textAlignment w:val="baseline"/>
              <w:rPr>
                <w:rFonts w:ascii="Calibri" w:eastAsia="Calibri" w:hAnsi="Calibri" w:cs="Times New Roman"/>
              </w:rPr>
            </w:pPr>
            <w:r w:rsidRPr="00C91E47">
              <w:rPr>
                <w:rFonts w:ascii="Calibri" w:eastAsia="Calibri" w:hAnsi="Calibri" w:cs="Times New Roman"/>
              </w:rPr>
              <w:t xml:space="preserve">However, insurance transfer doesn’t transfer all the risk as insurance contracts often include exclusions or excesses, as with motor insurance, the company that owns the risk will be responsible for initiating this system of risk response. Considering the merit of transferring a risk necessitates a business considering both its and the other parties, objectives, the relative abilities of the parties to </w:t>
            </w:r>
            <w:r w:rsidRPr="00C91E47">
              <w:rPr>
                <w:rFonts w:ascii="Calibri" w:eastAsia="Calibri" w:hAnsi="Calibri" w:cs="Times New Roman"/>
              </w:rPr>
              <w:lastRenderedPageBreak/>
              <w:t>assume the risk</w:t>
            </w:r>
          </w:p>
          <w:p w14:paraId="7BFD577F" w14:textId="77777777" w:rsidR="00CC2FB3" w:rsidRPr="00CC2FB3" w:rsidRDefault="00CC2FB3" w:rsidP="00A851DA">
            <w:pPr>
              <w:rPr>
                <w:rFonts w:ascii="Arial" w:hAnsi="Arial" w:cs="Arial"/>
                <w:sz w:val="24"/>
                <w:szCs w:val="24"/>
              </w:rPr>
            </w:pPr>
          </w:p>
          <w:p w14:paraId="41129E2B" w14:textId="77777777" w:rsidR="00CC2FB3" w:rsidRDefault="00CC2FB3" w:rsidP="00A851DA">
            <w:pPr>
              <w:rPr>
                <w:b/>
              </w:rPr>
            </w:pPr>
          </w:p>
          <w:p w14:paraId="024ABB5B" w14:textId="77777777" w:rsidR="00CC2FB3" w:rsidRDefault="00CC2FB3" w:rsidP="00A851DA">
            <w:pPr>
              <w:rPr>
                <w:b/>
              </w:rPr>
            </w:pPr>
          </w:p>
          <w:p w14:paraId="08023C79" w14:textId="77777777" w:rsidR="00CC2FB3" w:rsidRDefault="00CC2FB3" w:rsidP="00A851DA">
            <w:pPr>
              <w:rPr>
                <w:b/>
              </w:rPr>
            </w:pPr>
          </w:p>
          <w:p w14:paraId="58D69A17" w14:textId="77777777" w:rsidR="00CC2FB3" w:rsidRDefault="00CC2FB3" w:rsidP="00A851DA">
            <w:pPr>
              <w:rPr>
                <w:b/>
              </w:rPr>
            </w:pPr>
          </w:p>
          <w:p w14:paraId="3BE254AA" w14:textId="77777777" w:rsidR="00CC2FB3" w:rsidRDefault="00CC2FB3" w:rsidP="00A851DA">
            <w:pPr>
              <w:rPr>
                <w:b/>
              </w:rPr>
            </w:pPr>
          </w:p>
          <w:p w14:paraId="74D6D306" w14:textId="77777777" w:rsidR="00CC2FB3" w:rsidRDefault="00CC2FB3" w:rsidP="00A851DA">
            <w:pPr>
              <w:rPr>
                <w:b/>
              </w:rPr>
            </w:pPr>
          </w:p>
          <w:p w14:paraId="706A8224" w14:textId="77777777" w:rsidR="00CC2FB3" w:rsidRDefault="00CC2FB3" w:rsidP="00A851DA">
            <w:pPr>
              <w:rPr>
                <w:b/>
              </w:rPr>
            </w:pPr>
          </w:p>
          <w:p w14:paraId="410F8DBF" w14:textId="77777777" w:rsidR="00CC2FB3" w:rsidRDefault="00CC2FB3" w:rsidP="00A851DA">
            <w:pPr>
              <w:rPr>
                <w:b/>
              </w:rPr>
            </w:pPr>
          </w:p>
          <w:p w14:paraId="0CBDBD2B" w14:textId="77777777" w:rsidR="00CC2FB3" w:rsidRDefault="00CC2FB3" w:rsidP="00A851DA">
            <w:pPr>
              <w:rPr>
                <w:b/>
              </w:rPr>
            </w:pPr>
          </w:p>
          <w:p w14:paraId="660ED9DC" w14:textId="77777777" w:rsidR="00CC2FB3" w:rsidRDefault="00CC2FB3" w:rsidP="00A851DA">
            <w:pPr>
              <w:rPr>
                <w:b/>
              </w:rPr>
            </w:pPr>
          </w:p>
          <w:p w14:paraId="62C8B273" w14:textId="77777777" w:rsidR="00CC2FB3" w:rsidRDefault="00CC2FB3" w:rsidP="00A851DA">
            <w:pPr>
              <w:rPr>
                <w:b/>
              </w:rPr>
            </w:pPr>
          </w:p>
          <w:p w14:paraId="4872C456" w14:textId="77777777" w:rsidR="00CC2FB3" w:rsidRDefault="00CC2FB3" w:rsidP="00A851DA">
            <w:pPr>
              <w:rPr>
                <w:b/>
              </w:rPr>
            </w:pPr>
          </w:p>
          <w:p w14:paraId="75E2F9EB" w14:textId="77777777" w:rsidR="00CC2FB3" w:rsidRDefault="00CC2FB3" w:rsidP="00A851DA">
            <w:pPr>
              <w:rPr>
                <w:b/>
              </w:rPr>
            </w:pPr>
          </w:p>
          <w:p w14:paraId="1F9AB50B" w14:textId="77777777" w:rsidR="00CC2FB3" w:rsidRDefault="00CC2FB3" w:rsidP="00A851DA">
            <w:pPr>
              <w:rPr>
                <w:b/>
              </w:rPr>
            </w:pPr>
          </w:p>
          <w:p w14:paraId="0D202677" w14:textId="77777777" w:rsidR="00CC2FB3" w:rsidRDefault="00CC2FB3" w:rsidP="00A851DA">
            <w:pPr>
              <w:rPr>
                <w:b/>
              </w:rPr>
            </w:pPr>
          </w:p>
          <w:p w14:paraId="257050F0" w14:textId="77777777" w:rsidR="00CC2FB3" w:rsidRDefault="00CC2FB3" w:rsidP="00A851DA">
            <w:pPr>
              <w:rPr>
                <w:b/>
              </w:rPr>
            </w:pPr>
          </w:p>
        </w:tc>
      </w:tr>
    </w:tbl>
    <w:p w14:paraId="39E96868"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A57358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EAD240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34D06C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D09C40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AB2222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ED5E5D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7B94E5D7" w14:textId="77777777" w:rsidTr="00405895">
        <w:tc>
          <w:tcPr>
            <w:tcW w:w="2310" w:type="dxa"/>
            <w:shd w:val="clear" w:color="auto" w:fill="D9D9D9" w:themeFill="background1" w:themeFillShade="D9"/>
          </w:tcPr>
          <w:p w14:paraId="6EDEA27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E0AE4AD" w14:textId="77777777" w:rsidR="00405895" w:rsidRPr="00B0415E" w:rsidRDefault="00C91E47" w:rsidP="00A851DA">
            <w:pPr>
              <w:rPr>
                <w:rFonts w:cs="Bliss-Regular"/>
                <w:color w:val="000000"/>
              </w:rPr>
            </w:pPr>
            <w:r>
              <w:rPr>
                <w:rFonts w:cs="Bliss-Regular"/>
                <w:color w:val="000000"/>
              </w:rPr>
              <w:t>Mufutau Salako</w:t>
            </w:r>
          </w:p>
        </w:tc>
        <w:tc>
          <w:tcPr>
            <w:tcW w:w="1276" w:type="dxa"/>
            <w:shd w:val="clear" w:color="auto" w:fill="D9D9D9" w:themeFill="background1" w:themeFillShade="D9"/>
          </w:tcPr>
          <w:p w14:paraId="32F3A50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80ED1D6" w14:textId="77777777" w:rsidR="00405895" w:rsidRPr="00B0415E" w:rsidRDefault="00C91E47" w:rsidP="00A851DA">
            <w:pPr>
              <w:rPr>
                <w:rFonts w:cs="Bliss-Regular"/>
                <w:color w:val="000000"/>
              </w:rPr>
            </w:pPr>
            <w:r>
              <w:rPr>
                <w:rFonts w:cs="Bliss-Regular"/>
                <w:color w:val="000000"/>
              </w:rPr>
              <w:t>28/06/2017</w:t>
            </w:r>
            <w:bookmarkStart w:id="0" w:name="_GoBack"/>
            <w:bookmarkEnd w:id="0"/>
          </w:p>
        </w:tc>
      </w:tr>
    </w:tbl>
    <w:p w14:paraId="1A4266EA" w14:textId="77777777" w:rsidR="00A851DA" w:rsidRPr="00B0415E" w:rsidRDefault="00A851DA" w:rsidP="00A851DA">
      <w:pPr>
        <w:rPr>
          <w:rFonts w:cs="Bliss-Regular"/>
          <w:color w:val="000000"/>
          <w:lang w:val="en-US"/>
        </w:rPr>
      </w:pPr>
    </w:p>
    <w:p w14:paraId="0072D197" w14:textId="77777777" w:rsidR="00A851DA" w:rsidRPr="00B0415E" w:rsidRDefault="00A851DA" w:rsidP="00A851DA">
      <w:pPr>
        <w:rPr>
          <w:rFonts w:cs="Bliss-Regular"/>
          <w:color w:val="000000"/>
          <w:lang w:val="en-US"/>
        </w:rPr>
      </w:pPr>
    </w:p>
    <w:p w14:paraId="4FDF3245"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06FBDB8" w14:textId="77777777" w:rsidTr="00B0415E">
        <w:trPr>
          <w:trHeight w:val="249"/>
        </w:trPr>
        <w:tc>
          <w:tcPr>
            <w:tcW w:w="4621" w:type="dxa"/>
            <w:shd w:val="clear" w:color="auto" w:fill="D9D9D9" w:themeFill="background1" w:themeFillShade="D9"/>
          </w:tcPr>
          <w:p w14:paraId="4098658C" w14:textId="77777777" w:rsidR="00503D7E" w:rsidRPr="00B0415E" w:rsidRDefault="00503D7E" w:rsidP="00503D7E">
            <w:pPr>
              <w:rPr>
                <w:b/>
                <w:color w:val="002060"/>
              </w:rPr>
            </w:pPr>
            <w:r w:rsidRPr="00B0415E">
              <w:rPr>
                <w:b/>
                <w:color w:val="002060"/>
              </w:rPr>
              <w:t>Total Marks</w:t>
            </w:r>
          </w:p>
        </w:tc>
        <w:tc>
          <w:tcPr>
            <w:tcW w:w="4621" w:type="dxa"/>
          </w:tcPr>
          <w:p w14:paraId="317C810E" w14:textId="77777777" w:rsidR="00503D7E" w:rsidRPr="00B0415E" w:rsidRDefault="00503D7E" w:rsidP="00503D7E">
            <w:pPr>
              <w:rPr>
                <w:rFonts w:cs="Times New Roman"/>
                <w:szCs w:val="32"/>
              </w:rPr>
            </w:pPr>
          </w:p>
        </w:tc>
      </w:tr>
      <w:tr w:rsidR="00503D7E" w:rsidRPr="00B0415E" w14:paraId="5DB451F5" w14:textId="77777777" w:rsidTr="00B0415E">
        <w:tc>
          <w:tcPr>
            <w:tcW w:w="4621" w:type="dxa"/>
            <w:shd w:val="clear" w:color="auto" w:fill="D9D9D9" w:themeFill="background1" w:themeFillShade="D9"/>
          </w:tcPr>
          <w:p w14:paraId="29CE0833" w14:textId="77777777" w:rsidR="00503D7E" w:rsidRPr="00B0415E" w:rsidRDefault="00503D7E" w:rsidP="00503D7E">
            <w:pPr>
              <w:rPr>
                <w:b/>
                <w:color w:val="002060"/>
              </w:rPr>
            </w:pPr>
            <w:r w:rsidRPr="00B0415E">
              <w:rPr>
                <w:b/>
                <w:color w:val="002060"/>
              </w:rPr>
              <w:t>Marks Obtained</w:t>
            </w:r>
          </w:p>
        </w:tc>
        <w:tc>
          <w:tcPr>
            <w:tcW w:w="4621" w:type="dxa"/>
          </w:tcPr>
          <w:p w14:paraId="601D4386" w14:textId="77777777" w:rsidR="00503D7E" w:rsidRPr="00B0415E" w:rsidRDefault="00503D7E" w:rsidP="00503D7E">
            <w:pPr>
              <w:rPr>
                <w:rFonts w:cs="Times New Roman"/>
                <w:szCs w:val="32"/>
              </w:rPr>
            </w:pPr>
          </w:p>
        </w:tc>
      </w:tr>
      <w:tr w:rsidR="00503D7E" w:rsidRPr="00B0415E" w14:paraId="2D1D80DC" w14:textId="77777777" w:rsidTr="00B0415E">
        <w:tc>
          <w:tcPr>
            <w:tcW w:w="4621" w:type="dxa"/>
            <w:shd w:val="clear" w:color="auto" w:fill="D9D9D9" w:themeFill="background1" w:themeFillShade="D9"/>
          </w:tcPr>
          <w:p w14:paraId="69B8FB85" w14:textId="77777777" w:rsidR="00503D7E" w:rsidRPr="00B0415E" w:rsidRDefault="00B0415E" w:rsidP="00503D7E">
            <w:pPr>
              <w:rPr>
                <w:b/>
                <w:color w:val="002060"/>
              </w:rPr>
            </w:pPr>
            <w:r w:rsidRPr="00B0415E">
              <w:rPr>
                <w:b/>
                <w:color w:val="002060"/>
              </w:rPr>
              <w:t>Percentage / Grade</w:t>
            </w:r>
          </w:p>
        </w:tc>
        <w:tc>
          <w:tcPr>
            <w:tcW w:w="4621" w:type="dxa"/>
          </w:tcPr>
          <w:p w14:paraId="7895FD26" w14:textId="77777777" w:rsidR="00503D7E" w:rsidRPr="00B0415E" w:rsidRDefault="00503D7E" w:rsidP="00503D7E">
            <w:pPr>
              <w:rPr>
                <w:rFonts w:cs="Times New Roman"/>
                <w:szCs w:val="32"/>
              </w:rPr>
            </w:pPr>
          </w:p>
        </w:tc>
      </w:tr>
    </w:tbl>
    <w:p w14:paraId="5FE53AAE" w14:textId="77777777" w:rsidR="00A851DA" w:rsidRDefault="00A851DA" w:rsidP="00503D7E">
      <w:pPr>
        <w:rPr>
          <w:rFonts w:cs="Times New Roman"/>
          <w:sz w:val="24"/>
          <w:szCs w:val="32"/>
        </w:rPr>
      </w:pPr>
    </w:p>
    <w:p w14:paraId="78091F57" w14:textId="77777777" w:rsidR="00607874" w:rsidRDefault="00607874" w:rsidP="00503D7E">
      <w:pPr>
        <w:rPr>
          <w:rFonts w:cs="Times New Roman"/>
          <w:sz w:val="24"/>
          <w:szCs w:val="32"/>
        </w:rPr>
      </w:pPr>
    </w:p>
    <w:p w14:paraId="11044FA9" w14:textId="77777777" w:rsidR="00607874" w:rsidRDefault="00607874" w:rsidP="00503D7E">
      <w:pPr>
        <w:rPr>
          <w:rFonts w:cs="Times New Roman"/>
          <w:sz w:val="24"/>
          <w:szCs w:val="32"/>
        </w:rPr>
      </w:pPr>
    </w:p>
    <w:p w14:paraId="6D70AE07" w14:textId="77777777" w:rsidR="00607874" w:rsidRDefault="00607874" w:rsidP="00503D7E">
      <w:pPr>
        <w:rPr>
          <w:rFonts w:cs="Times New Roman"/>
          <w:sz w:val="24"/>
          <w:szCs w:val="32"/>
        </w:rPr>
      </w:pPr>
    </w:p>
    <w:p w14:paraId="16D1461F" w14:textId="77777777" w:rsidR="00607874" w:rsidRDefault="00607874" w:rsidP="00503D7E">
      <w:pPr>
        <w:rPr>
          <w:rFonts w:cs="Times New Roman"/>
          <w:sz w:val="24"/>
          <w:szCs w:val="32"/>
        </w:rPr>
      </w:pPr>
    </w:p>
    <w:p w14:paraId="757BC53C" w14:textId="77777777" w:rsidR="00607874" w:rsidRDefault="00607874" w:rsidP="00503D7E">
      <w:pPr>
        <w:rPr>
          <w:rFonts w:cs="Times New Roman"/>
          <w:sz w:val="24"/>
          <w:szCs w:val="32"/>
        </w:rPr>
      </w:pPr>
    </w:p>
    <w:p w14:paraId="284A94EC" w14:textId="77777777" w:rsidR="00607874" w:rsidRDefault="00607874" w:rsidP="00503D7E">
      <w:pPr>
        <w:rPr>
          <w:rFonts w:cs="Times New Roman"/>
          <w:sz w:val="24"/>
          <w:szCs w:val="32"/>
        </w:rPr>
      </w:pPr>
    </w:p>
    <w:p w14:paraId="503FDA9B" w14:textId="77777777" w:rsidR="00607874" w:rsidRDefault="00607874" w:rsidP="00503D7E">
      <w:pPr>
        <w:rPr>
          <w:rFonts w:cs="Times New Roman"/>
          <w:sz w:val="24"/>
          <w:szCs w:val="32"/>
        </w:rPr>
      </w:pPr>
    </w:p>
    <w:p w14:paraId="3CB240FA" w14:textId="77777777" w:rsidR="00EA30AB" w:rsidRDefault="00EA30AB" w:rsidP="00503D7E">
      <w:pPr>
        <w:rPr>
          <w:rFonts w:cs="Times New Roman"/>
          <w:sz w:val="24"/>
          <w:szCs w:val="32"/>
        </w:rPr>
      </w:pPr>
    </w:p>
    <w:p w14:paraId="1D739A67" w14:textId="77777777" w:rsidR="00EA30AB" w:rsidRDefault="00EA30AB" w:rsidP="00503D7E">
      <w:pPr>
        <w:rPr>
          <w:rFonts w:cs="Times New Roman"/>
          <w:sz w:val="24"/>
          <w:szCs w:val="32"/>
        </w:rPr>
      </w:pPr>
    </w:p>
    <w:p w14:paraId="76F72440"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430C2F" w14:textId="77777777" w:rsidR="00C53029" w:rsidRDefault="00C53029" w:rsidP="00CB4D0A">
      <w:pPr>
        <w:spacing w:after="0" w:line="240" w:lineRule="auto"/>
      </w:pPr>
      <w:r>
        <w:separator/>
      </w:r>
    </w:p>
  </w:endnote>
  <w:endnote w:type="continuationSeparator" w:id="0">
    <w:p w14:paraId="01698939"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9A2A65" w14:textId="77777777" w:rsidR="00C53029" w:rsidRDefault="00C53029" w:rsidP="00CB4D0A">
      <w:pPr>
        <w:spacing w:after="0" w:line="240" w:lineRule="auto"/>
      </w:pPr>
      <w:r>
        <w:separator/>
      </w:r>
    </w:p>
  </w:footnote>
  <w:footnote w:type="continuationSeparator" w:id="0">
    <w:p w14:paraId="6A00FB4A"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91E47"/>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17C03E27"/>
  <w15:docId w15:val="{D639D704-4351-4912-A95C-884DC462E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1EE550-4624-4DB2-9DC7-162D7A858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822</Words>
  <Characters>4687</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kehinde otubanjo</cp:lastModifiedBy>
  <cp:revision>1</cp:revision>
  <dcterms:created xsi:type="dcterms:W3CDTF">2015-01-26T12:24:00Z</dcterms:created>
  <dcterms:modified xsi:type="dcterms:W3CDTF">2017-06-28T13:31:00Z</dcterms:modified>
</cp:coreProperties>
</file>