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56B7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97BD0" w:rsidRDefault="00397BD0" w:rsidP="00405895">
                            <w:pPr>
                              <w:jc w:val="center"/>
                              <w:rPr>
                                <w:b/>
                                <w:bCs/>
                                <w:color w:val="002060"/>
                                <w:sz w:val="44"/>
                                <w:szCs w:val="40"/>
                              </w:rPr>
                            </w:pPr>
                            <w:r>
                              <w:rPr>
                                <w:sz w:val="24"/>
                              </w:rPr>
                              <w:t xml:space="preserve">   </w:t>
                            </w:r>
                            <w:r>
                              <w:rPr>
                                <w:b/>
                                <w:bCs/>
                                <w:color w:val="002060"/>
                                <w:sz w:val="44"/>
                                <w:szCs w:val="40"/>
                              </w:rPr>
                              <w:t>Assignment Cover Sheet</w:t>
                            </w:r>
                          </w:p>
                          <w:p w:rsidR="00397BD0" w:rsidRDefault="00397BD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397BD0" w:rsidRDefault="00397BD0" w:rsidP="00405895">
                      <w:pPr>
                        <w:jc w:val="center"/>
                        <w:rPr>
                          <w:b/>
                          <w:bCs/>
                          <w:color w:val="002060"/>
                          <w:sz w:val="44"/>
                          <w:szCs w:val="40"/>
                        </w:rPr>
                      </w:pPr>
                      <w:r>
                        <w:rPr>
                          <w:sz w:val="24"/>
                        </w:rPr>
                        <w:t xml:space="preserve">   </w:t>
                      </w:r>
                      <w:r>
                        <w:rPr>
                          <w:b/>
                          <w:bCs/>
                          <w:color w:val="002060"/>
                          <w:sz w:val="44"/>
                          <w:szCs w:val="40"/>
                        </w:rPr>
                        <w:t>Assignment Cover Sheet</w:t>
                      </w:r>
                    </w:p>
                    <w:p w:rsidR="00397BD0" w:rsidRDefault="00397BD0"/>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2045">
            <w:pPr>
              <w:pStyle w:val="Default"/>
              <w:rPr>
                <w:rFonts w:asciiTheme="minorHAnsi" w:hAnsiTheme="minorHAnsi"/>
              </w:rPr>
            </w:pPr>
            <w:r>
              <w:rPr>
                <w:rFonts w:asciiTheme="minorHAnsi" w:hAnsiTheme="minorHAnsi"/>
              </w:rPr>
              <w:t>Arou</w:t>
            </w:r>
            <w:r w:rsidR="009755A9">
              <w:rPr>
                <w:rFonts w:asciiTheme="minorHAnsi" w:hAnsiTheme="minorHAnsi"/>
              </w:rPr>
              <w:t>n</w:t>
            </w:r>
            <w:r>
              <w:rPr>
                <w:rFonts w:asciiTheme="minorHAnsi" w:hAnsiTheme="minorHAnsi"/>
              </w:rPr>
              <w:t xml:space="preserve"> Kargbo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F2045">
            <w:pPr>
              <w:pStyle w:val="Default"/>
              <w:rPr>
                <w:rFonts w:asciiTheme="minorHAnsi" w:hAnsiTheme="minorHAnsi"/>
              </w:rPr>
            </w:pPr>
            <w:r>
              <w:rPr>
                <w:rFonts w:asciiTheme="minorHAnsi" w:hAnsiTheme="minorHAnsi"/>
              </w:rPr>
              <w:t>3530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2045">
            <w:pPr>
              <w:pStyle w:val="Default"/>
              <w:rPr>
                <w:rFonts w:asciiTheme="minorHAnsi" w:hAnsiTheme="minorHAnsi"/>
              </w:rPr>
            </w:pPr>
            <w:r>
              <w:rPr>
                <w:rFonts w:asciiTheme="minorHAnsi" w:hAnsiTheme="minorHAnsi"/>
              </w:rPr>
              <w:t>Market Distribution in Supply Chain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2045">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9755A9" w:rsidP="00A851DA">
            <w:pPr>
              <w:rPr>
                <w:b/>
              </w:rPr>
            </w:pPr>
            <w:r>
              <w:rPr>
                <w:b/>
              </w:rPr>
              <w:t xml:space="preserve">1. </w:t>
            </w:r>
          </w:p>
          <w:p w:rsidR="00AF42F5" w:rsidRDefault="009755A9" w:rsidP="00AF42F5">
            <w:pPr>
              <w:pStyle w:val="ListParagraph"/>
              <w:numPr>
                <w:ilvl w:val="0"/>
                <w:numId w:val="2"/>
              </w:numPr>
            </w:pPr>
            <w:r w:rsidRPr="00E836DE">
              <w:rPr>
                <w:b/>
              </w:rPr>
              <w:t xml:space="preserve"> </w:t>
            </w:r>
            <w:r w:rsidR="00E836DE" w:rsidRPr="00852E4F">
              <w:rPr>
                <w:i/>
              </w:rPr>
              <w:t>Distribution in a supply chain</w:t>
            </w:r>
            <w:r w:rsidR="00E836DE">
              <w:t xml:space="preserve"> is the process or movement of goods/services from one source (producer/manufacturer/primary) to an end destination for the use/consumption or </w:t>
            </w:r>
            <w:r w:rsidR="009118DA">
              <w:t xml:space="preserve">utilization – namely customer/consumer or service user. </w:t>
            </w:r>
            <w:r w:rsidR="006B3937">
              <w:t xml:space="preserve">This process or movement of goods/services can experience a varied combination </w:t>
            </w:r>
            <w:r w:rsidR="00481EB5">
              <w:t xml:space="preserve">(channels) </w:t>
            </w:r>
            <w:r w:rsidR="006B3937">
              <w:t xml:space="preserve">of transportation forms and </w:t>
            </w:r>
            <w:r w:rsidR="00042DB0">
              <w:t xml:space="preserve">specifically identifiable locations in transit to the final destination. </w:t>
            </w:r>
            <w:r w:rsidR="00852E4F" w:rsidRPr="00852E4F">
              <w:rPr>
                <w:i/>
              </w:rPr>
              <w:t>Channels of distributions</w:t>
            </w:r>
            <w:r w:rsidR="00852E4F">
              <w:t xml:space="preserve"> are the specified transit points/intermediaries that support the transportation of the goods/services either from the producer/manufacturer to the wholesaler/retailer. They are all sustained within the distribution channel sequence.</w:t>
            </w:r>
            <w:r w:rsidR="00573354">
              <w:t xml:space="preserve"> They function my disseminating the sequence of the process of transporting the goods/services to the end user. An organization with a service or goods for the end user market can either employ an agent to ensure their product/service reaches market/end user. This agent will be recognized as a distributor wit</w:t>
            </w:r>
            <w:r w:rsidR="00AF42F5">
              <w:t>h</w:t>
            </w:r>
            <w:r w:rsidR="00573354">
              <w:t>in that supply chain process and therefore establish its own channel to satisfy the need</w:t>
            </w:r>
            <w:r w:rsidR="00AF42F5">
              <w:t xml:space="preserve">s of the organization/producer. </w:t>
            </w:r>
          </w:p>
          <w:p w:rsidR="00AF42F5" w:rsidRDefault="00AF42F5" w:rsidP="00AF42F5">
            <w:r>
              <w:t xml:space="preserve">Organization that ascertain the goods/services from the distributor to then present/market to the end user will be considered as the retailer (s) and it is from this outlet that the end user/consumer will receive the product/goods/services at its point of use/consumption. </w:t>
            </w:r>
            <w:r w:rsidR="00DA58C8">
              <w:t xml:space="preserve">The benefits to the intermediaries within the supply chain distribution channel is that they will acquire the goods/products/services at a far less price as they procure the goods/products/services at a higher yield per batch, therefore realizing the economy of scale. </w:t>
            </w:r>
          </w:p>
          <w:p w:rsidR="00661246" w:rsidRDefault="00661246" w:rsidP="00AF42F5"/>
          <w:p w:rsidR="00C95FCA" w:rsidRDefault="00765EFD" w:rsidP="007B21A9">
            <w:pPr>
              <w:pStyle w:val="ListParagraph"/>
              <w:numPr>
                <w:ilvl w:val="0"/>
                <w:numId w:val="2"/>
              </w:numPr>
              <w:ind w:left="1080"/>
            </w:pPr>
            <w:r>
              <w:t xml:space="preserve">The </w:t>
            </w:r>
            <w:r w:rsidRPr="00765EFD">
              <w:rPr>
                <w:i/>
              </w:rPr>
              <w:t>Chanel Participants</w:t>
            </w:r>
            <w:r>
              <w:t xml:space="preserve"> in a </w:t>
            </w:r>
            <w:r w:rsidRPr="00765EFD">
              <w:rPr>
                <w:i/>
              </w:rPr>
              <w:t>distribution process</w:t>
            </w:r>
            <w:r>
              <w:t xml:space="preserve"> in general are </w:t>
            </w:r>
            <w:r w:rsidR="00A76F40">
              <w:t xml:space="preserve">Manufacturers (producers), Wholesalers and finally Retailers. </w:t>
            </w:r>
            <w:r w:rsidR="007B21A9">
              <w:t xml:space="preserve">As mentioned in the extract above, the distribution channel is a systemic process that flows generally downstream to the final consumption point. Moreover, the intermediaries are the key pivot points that enable the goods to be transferred/transported within the timeframe identified despite the </w:t>
            </w:r>
            <w:r w:rsidR="007B21A9">
              <w:lastRenderedPageBreak/>
              <w:t xml:space="preserve">seasonal constraints. </w:t>
            </w:r>
            <w:r w:rsidR="0064427D">
              <w:t>Although (initially) in the past a distribution channel put impetus on the manufacturer’s channel timeframe, it is without doubt that the market growth of retailers ($3.8 Trillion) and wholesalers ($4 Tri</w:t>
            </w:r>
            <w:r w:rsidR="00E92A36">
              <w:t>l</w:t>
            </w:r>
            <w:r w:rsidR="0064427D">
              <w:t>lion)</w:t>
            </w:r>
            <w:r w:rsidR="00E92A36">
              <w:t xml:space="preserve"> respectively has allowed for the correct recognition of </w:t>
            </w:r>
            <w:r w:rsidR="00C95FCA">
              <w:t>the channel as part of the entire distribution channel</w:t>
            </w:r>
            <w:r w:rsidR="00E92A36">
              <w:t xml:space="preserve"> process.</w:t>
            </w:r>
          </w:p>
          <w:p w:rsidR="009518E9" w:rsidRDefault="00DE06A2" w:rsidP="007B21A9">
            <w:pPr>
              <w:pStyle w:val="ListParagraph"/>
              <w:numPr>
                <w:ilvl w:val="0"/>
                <w:numId w:val="2"/>
              </w:numPr>
              <w:ind w:left="1080"/>
            </w:pPr>
            <w:r>
              <w:t>The importance of market coverage decisions in a distribution is vital in ensuring that a specific product or services are correctly distributed to the end users with al related supportive mechanisms for the</w:t>
            </w:r>
            <w:r w:rsidR="006740E1">
              <w:t xml:space="preserve"> said</w:t>
            </w:r>
            <w:r>
              <w:t xml:space="preserve"> brand. </w:t>
            </w:r>
            <w:r w:rsidR="006740E1">
              <w:t>When such market coverage decisions are made, the two main considerations are ease of access</w:t>
            </w:r>
            <w:r w:rsidR="0096338C">
              <w:t xml:space="preserve"> (location)</w:t>
            </w:r>
            <w:r w:rsidR="006740E1">
              <w:t xml:space="preserve"> for the consumers/end users and also the</w:t>
            </w:r>
            <w:r w:rsidR="0096338C">
              <w:t xml:space="preserve"> brand penetration for that specific product/service being distributed because the decision will ultimately seek to identify which of the </w:t>
            </w:r>
            <w:r w:rsidR="009518E9">
              <w:t>following options will best support their decision;</w:t>
            </w:r>
          </w:p>
          <w:p w:rsidR="009518E9" w:rsidRDefault="009518E9" w:rsidP="009518E9"/>
          <w:p w:rsidR="00661246" w:rsidRDefault="009518E9" w:rsidP="009518E9">
            <w:pPr>
              <w:pStyle w:val="ListParagraph"/>
              <w:numPr>
                <w:ilvl w:val="0"/>
                <w:numId w:val="3"/>
              </w:numPr>
            </w:pPr>
            <w:r>
              <w:t xml:space="preserve">Intensive Distribution </w:t>
            </w:r>
            <w:r w:rsidR="00627CC4">
              <w:t>–</w:t>
            </w:r>
            <w:r>
              <w:t xml:space="preserve"> </w:t>
            </w:r>
            <w:r w:rsidR="00627CC4">
              <w:t>the mass distribution of a product (s) across all intermediaries within the distribution channel with the focus being mass consumption/saturation from all types of consumers within the market. Products such as cell phones and groceries fit this model well.</w:t>
            </w:r>
          </w:p>
          <w:p w:rsidR="009518E9" w:rsidRDefault="009518E9" w:rsidP="009518E9">
            <w:pPr>
              <w:pStyle w:val="ListParagraph"/>
              <w:numPr>
                <w:ilvl w:val="0"/>
                <w:numId w:val="3"/>
              </w:numPr>
            </w:pPr>
            <w:r>
              <w:t xml:space="preserve">Selective Distribution </w:t>
            </w:r>
            <w:r w:rsidR="00FF392A">
              <w:t>–</w:t>
            </w:r>
            <w:r>
              <w:t xml:space="preserve"> </w:t>
            </w:r>
            <w:r w:rsidR="00FF392A">
              <w:t xml:space="preserve">a process by which the distribution of a product is decided upon the effectiveness of its support </w:t>
            </w:r>
            <w:r w:rsidR="00827033">
              <w:t xml:space="preserve">add-ons such as the after-sales support but moreover, the </w:t>
            </w:r>
            <w:r w:rsidR="00BA1EA2">
              <w:t xml:space="preserve">decision considers whether the product could be retailed without an adverse impact on the brand and or discrediting the aligned interests of the distribution channel by a rouge retailer (s) for competitive reasons which presents a risk to both the brand and the distribution channel as a whole. </w:t>
            </w:r>
          </w:p>
          <w:p w:rsidR="0076631A" w:rsidRDefault="009518E9" w:rsidP="009518E9">
            <w:pPr>
              <w:pStyle w:val="ListParagraph"/>
              <w:numPr>
                <w:ilvl w:val="0"/>
                <w:numId w:val="3"/>
              </w:numPr>
            </w:pPr>
            <w:r>
              <w:t xml:space="preserve">Exclusive Distribution </w:t>
            </w:r>
            <w:r w:rsidR="00790313">
              <w:t>–</w:t>
            </w:r>
            <w:r>
              <w:t xml:space="preserve"> </w:t>
            </w:r>
            <w:r w:rsidR="00790313">
              <w:t xml:space="preserve">the means by which decisions are made for ensuring the product (s) is retailed to a specific type of consumer. Often such a clientele has greater confidence in the product and all related add-ons services and therefore will not be affected by the location where the product is being retailed. </w:t>
            </w:r>
            <w:r w:rsidR="000556E4">
              <w:t xml:space="preserve">In addition, such a decision is made with a well aligned channel that understands the value of the brand and subsequently a well-established relationship between the manufacturer and the intermediaries ensures the exclusivity of the product and brand. Quality, Service and </w:t>
            </w:r>
            <w:r w:rsidR="00AC04A9">
              <w:t xml:space="preserve">consumer satisfaction are at the forefront in this decision making. </w:t>
            </w:r>
          </w:p>
          <w:p w:rsidR="009518E9" w:rsidRDefault="009518E9" w:rsidP="0076631A"/>
          <w:p w:rsidR="0076631A" w:rsidRDefault="0076631A" w:rsidP="0076631A">
            <w:r>
              <w:t xml:space="preserve">iv. </w:t>
            </w:r>
          </w:p>
          <w:p w:rsidR="0076631A" w:rsidRDefault="0076631A" w:rsidP="0076631A"/>
          <w:p w:rsidR="00171E66" w:rsidRDefault="00BD540D" w:rsidP="0076631A">
            <w:r>
              <w:t xml:space="preserve">I must confess that differentiating between a </w:t>
            </w:r>
            <w:r w:rsidRPr="00E478B8">
              <w:rPr>
                <w:i/>
              </w:rPr>
              <w:t>single transaction channel</w:t>
            </w:r>
            <w:r>
              <w:t xml:space="preserve"> and </w:t>
            </w:r>
            <w:r w:rsidRPr="00E478B8">
              <w:rPr>
                <w:i/>
              </w:rPr>
              <w:t>conventional channels</w:t>
            </w:r>
            <w:r>
              <w:t xml:space="preserve"> has been  mind-boggling to say the least as they both describe a similar transaction process/experience however, one give the opportunity to re-establish/reconnect but yet the end of the transaction is never far out of sight. So therefore from my perspective, the key fundamentals lay in the management of risk over operational objectives achieved. </w:t>
            </w:r>
          </w:p>
          <w:p w:rsidR="00E478B8" w:rsidRDefault="00171E66" w:rsidP="0076631A">
            <w:r>
              <w:t xml:space="preserve">So in an attempt to give a differentiating description of the two channels I would compare them to </w:t>
            </w:r>
            <w:r w:rsidR="00E478B8">
              <w:t>the common human experiences of;</w:t>
            </w:r>
          </w:p>
          <w:p w:rsidR="00BD540D" w:rsidRDefault="00E478B8" w:rsidP="00E478B8">
            <w:pPr>
              <w:pStyle w:val="ListParagraph"/>
              <w:numPr>
                <w:ilvl w:val="0"/>
                <w:numId w:val="6"/>
              </w:numPr>
            </w:pPr>
            <w:r w:rsidRPr="002729D8">
              <w:rPr>
                <w:b/>
              </w:rPr>
              <w:t>A one night stand</w:t>
            </w:r>
            <w:r>
              <w:t xml:space="preserve"> (Single Channel Transaction)</w:t>
            </w:r>
            <w:r w:rsidR="008D31C0">
              <w:t>. This form of relationship is often a moment</w:t>
            </w:r>
            <w:r w:rsidR="0006379D">
              <w:t xml:space="preserve"> that occurs not out of a planned/forecasted projection but one born out of an experience </w:t>
            </w:r>
            <w:r w:rsidR="00151256">
              <w:t>that presented</w:t>
            </w:r>
            <w:r w:rsidR="0006379D">
              <w:t xml:space="preserve"> an opportunity to either amalgamate, assimilate</w:t>
            </w:r>
            <w:r w:rsidR="00151256">
              <w:t xml:space="preserve"> and</w:t>
            </w:r>
            <w:r w:rsidR="00182299">
              <w:t xml:space="preserve"> or tak</w:t>
            </w:r>
            <w:r w:rsidR="0006379D">
              <w:t>e ownership</w:t>
            </w:r>
            <w:r w:rsidR="00151256">
              <w:t xml:space="preserve"> of stock/bonds. As this transaction was not a forecasted notion, there ends the transaction and never to be repeated again in that format, therefore lending to the expression of a </w:t>
            </w:r>
            <w:r w:rsidR="00151256" w:rsidRPr="00151256">
              <w:rPr>
                <w:i/>
              </w:rPr>
              <w:t>one night stand</w:t>
            </w:r>
            <w:r w:rsidR="00151256">
              <w:t xml:space="preserve">. </w:t>
            </w:r>
            <w:r w:rsidR="0006379D">
              <w:t xml:space="preserve"> </w:t>
            </w:r>
          </w:p>
          <w:p w:rsidR="001A2E7F" w:rsidRDefault="00E478B8" w:rsidP="00E478B8">
            <w:pPr>
              <w:pStyle w:val="ListParagraph"/>
              <w:numPr>
                <w:ilvl w:val="0"/>
                <w:numId w:val="6"/>
              </w:numPr>
            </w:pPr>
            <w:bookmarkStart w:id="0" w:name="_GoBack"/>
            <w:r w:rsidRPr="002729D8">
              <w:rPr>
                <w:b/>
              </w:rPr>
              <w:t>Friends of Benefits</w:t>
            </w:r>
            <w:r>
              <w:t xml:space="preserve"> </w:t>
            </w:r>
            <w:bookmarkEnd w:id="0"/>
            <w:r>
              <w:t>(Conventional Channel)</w:t>
            </w:r>
            <w:r w:rsidR="00151256">
              <w:t xml:space="preserve"> is a mutual (and consenting) relationship that has no progressive allegiance to the two protagonists involved however for the duration the transaction takes place, there is mutual benefit (s) and </w:t>
            </w:r>
            <w:r w:rsidR="00151256" w:rsidRPr="00151256">
              <w:rPr>
                <w:i/>
              </w:rPr>
              <w:t>‘needs’</w:t>
            </w:r>
            <w:r w:rsidR="00151256">
              <w:t xml:space="preserve"> enjoyed for both parties. The fact there is no formal commitment or allegiance agreed, there will naturally exist a distrust and insecure existence, thus making the transaction a passively aggressive but yet </w:t>
            </w:r>
            <w:r w:rsidR="00151256">
              <w:lastRenderedPageBreak/>
              <w:t xml:space="preserve">‘on a needs basis’ co-existence/agreement. At any given time either party can walk away without a need for formal pre-warning so long as the departure doesn’t cause long lasting harm but yet satisfies the requirements. </w:t>
            </w:r>
            <w:r w:rsidR="007B5119">
              <w:t xml:space="preserve">So the transaction will exist so long as it benefits both parties involved. </w:t>
            </w:r>
          </w:p>
          <w:p w:rsidR="001A2E7F" w:rsidRDefault="001A2E7F" w:rsidP="001A2E7F"/>
          <w:p w:rsidR="001A2E7F" w:rsidRDefault="001A2E7F" w:rsidP="001A2E7F">
            <w:r>
              <w:t xml:space="preserve">v. </w:t>
            </w:r>
          </w:p>
          <w:p w:rsidR="00BE2958" w:rsidRDefault="00151256" w:rsidP="001A2E7F">
            <w:r>
              <w:t xml:space="preserve">  </w:t>
            </w:r>
            <w:r w:rsidR="00D17D6A">
              <w:t>The way in which l</w:t>
            </w:r>
            <w:r w:rsidR="000A30F5">
              <w:t>ogistics oper</w:t>
            </w:r>
            <w:r w:rsidR="00D17D6A">
              <w:t xml:space="preserve">ations can affect the pricing for an end product/service is determined by the pricing </w:t>
            </w:r>
            <w:r w:rsidR="001B7F0C">
              <w:t>fundamentals employed</w:t>
            </w:r>
            <w:r w:rsidR="00D17D6A">
              <w:t xml:space="preserve"> by or a se</w:t>
            </w:r>
            <w:r w:rsidR="001B7F0C">
              <w:t xml:space="preserve">ller and buyer are engaged with during a transaction for some procured goods. </w:t>
            </w:r>
            <w:r w:rsidR="00BE2958">
              <w:t>The main fundamentals are;</w:t>
            </w:r>
          </w:p>
          <w:p w:rsidR="00E478B8" w:rsidRDefault="00BE2958" w:rsidP="00BE2958">
            <w:pPr>
              <w:pStyle w:val="ListParagraph"/>
              <w:numPr>
                <w:ilvl w:val="0"/>
                <w:numId w:val="7"/>
              </w:numPr>
            </w:pPr>
            <w:r w:rsidRPr="002729D8">
              <w:rPr>
                <w:b/>
              </w:rPr>
              <w:t>F.O.B pricing</w:t>
            </w:r>
            <w:r w:rsidR="009E2131">
              <w:t xml:space="preserve"> (Free on Board/Freight on Board) – a </w:t>
            </w:r>
            <w:r w:rsidR="0003624A">
              <w:t>process by which a</w:t>
            </w:r>
            <w:r w:rsidR="009E2131">
              <w:t xml:space="preserve"> seller presents the ordered goods at the point of shipping for the price agreed. From therein</w:t>
            </w:r>
            <w:r w:rsidR="0003624A">
              <w:t>,</w:t>
            </w:r>
            <w:r w:rsidR="009E2131">
              <w:t xml:space="preserve"> the buyer takes responsibility for the transportation and safe carriage of the said goods. This will also consider the potential of spoilage and spillage during the loading and unloading as well as transportation of the goods. </w:t>
            </w:r>
            <w:r w:rsidR="00EA7E34">
              <w:t xml:space="preserve">There is also an additional facet of this fundamental, that is F.O.B Destination Pricing which is short the title of the purchase is not passed onto the buyer until delivery of the goods is complete, this also means that the seller will arrange for transportation and at the end all charges will be added to the final bill. </w:t>
            </w:r>
          </w:p>
          <w:p w:rsidR="00BE2958" w:rsidRDefault="00BE2958" w:rsidP="00BE2958">
            <w:pPr>
              <w:pStyle w:val="ListParagraph"/>
              <w:numPr>
                <w:ilvl w:val="0"/>
                <w:numId w:val="7"/>
              </w:numPr>
            </w:pPr>
            <w:r w:rsidRPr="002729D8">
              <w:rPr>
                <w:b/>
              </w:rPr>
              <w:t>Delivered Pricing</w:t>
            </w:r>
            <w:r w:rsidR="007A6670">
              <w:t xml:space="preserve"> – with this fundamental the seller gives a quote of the sale inclusive of the transportation costs as one quote. So a detached/separated bill is not presented but instead just one total bill for goods. </w:t>
            </w:r>
          </w:p>
          <w:p w:rsidR="00BE2958" w:rsidRDefault="00BE2958" w:rsidP="00BE2958">
            <w:pPr>
              <w:pStyle w:val="ListParagraph"/>
              <w:numPr>
                <w:ilvl w:val="0"/>
                <w:numId w:val="7"/>
              </w:numPr>
            </w:pPr>
            <w:r w:rsidRPr="002729D8">
              <w:rPr>
                <w:b/>
              </w:rPr>
              <w:t>Single-Zone Pricing</w:t>
            </w:r>
            <w:r w:rsidR="00275C50">
              <w:t xml:space="preserve"> – similar to the pricing fundamentals employed various postal services, the emphasis is on the size and weight of the items and goods to be transported, </w:t>
            </w:r>
            <w:r w:rsidR="00395DB1">
              <w:t>and therefore</w:t>
            </w:r>
            <w:r w:rsidR="00275C50">
              <w:t xml:space="preserve"> the distance or location for the delivery is not a consideration/factor in the pricing structure. </w:t>
            </w:r>
            <w:r w:rsidR="00395DB1">
              <w:t xml:space="preserve">This however will mean that customers with a bigger weight goods can at times subsidize other customers with goods of a lesser weight. This is because their weight class structure are reflected similarly. </w:t>
            </w:r>
          </w:p>
          <w:p w:rsidR="00BE2958" w:rsidRDefault="00BE2958" w:rsidP="00BE2958">
            <w:pPr>
              <w:pStyle w:val="ListParagraph"/>
              <w:numPr>
                <w:ilvl w:val="0"/>
                <w:numId w:val="7"/>
              </w:numPr>
            </w:pPr>
            <w:r w:rsidRPr="002729D8">
              <w:rPr>
                <w:b/>
              </w:rPr>
              <w:t>Multiple-Zone Pricing</w:t>
            </w:r>
            <w:r w:rsidR="007A3C33">
              <w:t xml:space="preserve"> </w:t>
            </w:r>
            <w:r w:rsidR="00F802C7">
              <w:t>–</w:t>
            </w:r>
            <w:r w:rsidR="007A3C33">
              <w:t xml:space="preserve"> </w:t>
            </w:r>
            <w:r w:rsidR="00F802C7">
              <w:t xml:space="preserve">a fundamental like this considers the geographical variants within </w:t>
            </w:r>
            <w:r w:rsidR="00B93B29">
              <w:t xml:space="preserve">an assigned zone, so the pricing will be defined by the distance of the delivery locations against the multiple grid zones. </w:t>
            </w:r>
          </w:p>
          <w:p w:rsidR="00BE2958" w:rsidRDefault="00BE2958" w:rsidP="00BE2958">
            <w:pPr>
              <w:pStyle w:val="ListParagraph"/>
              <w:numPr>
                <w:ilvl w:val="0"/>
                <w:numId w:val="7"/>
              </w:numPr>
            </w:pPr>
            <w:r w:rsidRPr="002729D8">
              <w:rPr>
                <w:b/>
              </w:rPr>
              <w:t>Base-Point Pricing</w:t>
            </w:r>
            <w:r w:rsidR="00C21EBD">
              <w:t xml:space="preserve"> – considers the calculation of the final costings upon a formula of a specific base. The base could be at a location of choice by the seller. So this is despite if the item for delivery doesn’t originate from that location, the final invoice will be calculated fro</w:t>
            </w:r>
            <w:r w:rsidR="00FD4077">
              <w:t>m</w:t>
            </w:r>
            <w:r w:rsidR="00C21EBD">
              <w:t xml:space="preserve"> that base point. </w:t>
            </w:r>
          </w:p>
          <w:p w:rsidR="00FD4077" w:rsidRDefault="00FD4077" w:rsidP="00FD4077"/>
          <w:p w:rsidR="00FD4077" w:rsidRDefault="00FD4077" w:rsidP="00FD4077">
            <w:r>
              <w:t xml:space="preserve">Now in summary, the way logistics operations affect the pricing are determined by the pricing fundamentals a buying organization will be happy to employ. This in turn is affected by the consignment load, weight, frequency of delivery and also the value of the goods. </w:t>
            </w:r>
            <w:r w:rsidR="00617444">
              <w:t xml:space="preserve">Ultimately most buying organizations will aim to buy at a wholesale price with as minimal risk to the goods and or their distribution/supply chain channel. </w:t>
            </w:r>
            <w:r>
              <w:t xml:space="preserve"> </w:t>
            </w:r>
          </w:p>
          <w:p w:rsidR="00BE2958" w:rsidRDefault="00BE2958" w:rsidP="00BE2958"/>
          <w:p w:rsidR="00BE2958" w:rsidRDefault="00397BD0" w:rsidP="00BE2958">
            <w:r>
              <w:t xml:space="preserve">2. </w:t>
            </w:r>
          </w:p>
          <w:p w:rsidR="00055277" w:rsidRDefault="005F15C4" w:rsidP="00BE2958">
            <w:r>
              <w:t xml:space="preserve">Following on from the discussion/response to the above question, </w:t>
            </w:r>
            <w:r w:rsidR="00B43EDF">
              <w:t xml:space="preserve">the fundamentals of pricing strategies in supply chain management cover an even wider consideration (s). </w:t>
            </w:r>
            <w:r w:rsidR="009B25FE">
              <w:t>Despite the initial considerations identify</w:t>
            </w:r>
            <w:r w:rsidR="007F17AC">
              <w:t>ing the impact that</w:t>
            </w:r>
            <w:r w:rsidR="009B25FE">
              <w:t xml:space="preserve"> transportation</w:t>
            </w:r>
            <w:r w:rsidR="007F17AC">
              <w:t xml:space="preserve"> has as part of the pricing fundamentals </w:t>
            </w:r>
            <w:r w:rsidR="00615A1C">
              <w:t>with F.O.B arrangements,</w:t>
            </w:r>
            <w:r w:rsidR="006742E1">
              <w:t xml:space="preserve"> however</w:t>
            </w:r>
            <w:r w:rsidR="00615A1C">
              <w:t xml:space="preserve"> looking further </w:t>
            </w:r>
            <w:r w:rsidR="006742E1">
              <w:t xml:space="preserve">afield, </w:t>
            </w:r>
            <w:r w:rsidR="00055277">
              <w:t>the other issues around pricing that become part of the basis of a pricing strategy in the supply chain require organizations to be prudent on the following considerations;</w:t>
            </w:r>
          </w:p>
          <w:p w:rsidR="005F15C4" w:rsidRPr="009203A0" w:rsidRDefault="00D40A2C" w:rsidP="009203A0">
            <w:pPr>
              <w:pStyle w:val="ListParagraph"/>
              <w:numPr>
                <w:ilvl w:val="0"/>
                <w:numId w:val="9"/>
              </w:numPr>
              <w:autoSpaceDE w:val="0"/>
              <w:autoSpaceDN w:val="0"/>
              <w:adjustRightInd w:val="0"/>
              <w:rPr>
                <w:rFonts w:cs="Calibri"/>
                <w:i/>
                <w:sz w:val="20"/>
              </w:rPr>
            </w:pPr>
            <w:r w:rsidRPr="009203A0">
              <w:t>Quantity Discounts</w:t>
            </w:r>
            <w:r w:rsidR="009203A0" w:rsidRPr="009203A0">
              <w:t xml:space="preserve"> </w:t>
            </w:r>
            <w:r w:rsidR="009203A0" w:rsidRPr="009203A0">
              <w:rPr>
                <w:i/>
              </w:rPr>
              <w:t xml:space="preserve">- </w:t>
            </w:r>
            <w:r w:rsidR="009203A0" w:rsidRPr="009203A0">
              <w:rPr>
                <w:rFonts w:cs="Calibri"/>
                <w:i/>
              </w:rPr>
              <w:t>usually offered by a firm as an incentive to boost order size or overall size of business. To be</w:t>
            </w:r>
            <w:r w:rsidR="009203A0" w:rsidRPr="009203A0">
              <w:rPr>
                <w:rFonts w:cs="Calibri"/>
                <w:i/>
              </w:rPr>
              <w:t xml:space="preserve"> non-</w:t>
            </w:r>
            <w:r w:rsidR="009203A0" w:rsidRPr="009203A0">
              <w:rPr>
                <w:rFonts w:cs="Calibri"/>
                <w:i/>
              </w:rPr>
              <w:t>discriminatory, the same discount arrangement must be obtainable to all buyers.</w:t>
            </w:r>
          </w:p>
          <w:p w:rsidR="00D40A2C" w:rsidRPr="009203A0" w:rsidRDefault="00D40A2C" w:rsidP="009203A0">
            <w:pPr>
              <w:pStyle w:val="ListParagraph"/>
              <w:numPr>
                <w:ilvl w:val="0"/>
                <w:numId w:val="9"/>
              </w:numPr>
              <w:autoSpaceDE w:val="0"/>
              <w:autoSpaceDN w:val="0"/>
              <w:adjustRightInd w:val="0"/>
              <w:rPr>
                <w:rFonts w:cs="Calibri"/>
              </w:rPr>
            </w:pPr>
            <w:r w:rsidRPr="009203A0">
              <w:t>Promotional Pricing</w:t>
            </w:r>
            <w:r w:rsidR="009203A0" w:rsidRPr="009203A0">
              <w:t xml:space="preserve"> - </w:t>
            </w:r>
            <w:r w:rsidR="009203A0" w:rsidRPr="009203A0">
              <w:rPr>
                <w:rFonts w:cs="Calibri"/>
                <w:i/>
              </w:rPr>
              <w:t>This feature of pricing</w:t>
            </w:r>
            <w:r w:rsidR="009203A0" w:rsidRPr="009203A0">
              <w:rPr>
                <w:rFonts w:cs="Calibri"/>
                <w:i/>
              </w:rPr>
              <w:t xml:space="preserve"> pres</w:t>
            </w:r>
            <w:r w:rsidR="009203A0" w:rsidRPr="009203A0">
              <w:rPr>
                <w:rFonts w:cs="Calibri"/>
                <w:i/>
              </w:rPr>
              <w:t>surizes logistical operations in</w:t>
            </w:r>
            <w:r w:rsidR="009203A0" w:rsidRPr="009203A0">
              <w:rPr>
                <w:rFonts w:cs="Calibri"/>
                <w:i/>
              </w:rPr>
              <w:t xml:space="preserve"> the </w:t>
            </w:r>
            <w:r w:rsidR="009203A0" w:rsidRPr="009203A0">
              <w:rPr>
                <w:rFonts w:cs="Calibri"/>
                <w:i/>
              </w:rPr>
              <w:lastRenderedPageBreak/>
              <w:t>employment of short-term promotions to give</w:t>
            </w:r>
            <w:r w:rsidR="009203A0" w:rsidRPr="009203A0">
              <w:rPr>
                <w:rFonts w:cs="Calibri"/>
                <w:i/>
              </w:rPr>
              <w:t xml:space="preserve"> incentives for purchases via either coupons (for consumers) or trade allowances (for Wholesalers and Retailers).</w:t>
            </w:r>
          </w:p>
          <w:p w:rsidR="00D40A2C" w:rsidRPr="00024F97" w:rsidRDefault="00D40A2C" w:rsidP="00024F97">
            <w:pPr>
              <w:pStyle w:val="ListParagraph"/>
              <w:numPr>
                <w:ilvl w:val="0"/>
                <w:numId w:val="9"/>
              </w:numPr>
              <w:autoSpaceDE w:val="0"/>
              <w:autoSpaceDN w:val="0"/>
              <w:adjustRightInd w:val="0"/>
              <w:rPr>
                <w:rFonts w:cs="Calibri"/>
              </w:rPr>
            </w:pPr>
            <w:r w:rsidRPr="00024F97">
              <w:t>Menu Pricing</w:t>
            </w:r>
            <w:r w:rsidR="009203A0" w:rsidRPr="00024F97">
              <w:t xml:space="preserve"> - </w:t>
            </w:r>
            <w:r w:rsidR="00024F97" w:rsidRPr="00024F97">
              <w:rPr>
                <w:rFonts w:cs="Calibri"/>
                <w:i/>
              </w:rPr>
              <w:t>A</w:t>
            </w:r>
            <w:r w:rsidR="00024F97" w:rsidRPr="00024F97">
              <w:rPr>
                <w:rFonts w:cs="Calibri"/>
                <w:i/>
              </w:rPr>
              <w:t xml:space="preserve"> pric</w:t>
            </w:r>
            <w:r w:rsidR="00024F97" w:rsidRPr="00024F97">
              <w:rPr>
                <w:rFonts w:cs="Calibri"/>
                <w:i/>
              </w:rPr>
              <w:t xml:space="preserve">ing </w:t>
            </w:r>
            <w:r w:rsidR="00024F97" w:rsidRPr="00024F97">
              <w:rPr>
                <w:rFonts w:cs="Calibri"/>
                <w:i/>
              </w:rPr>
              <w:t>method used by several firms to achieve</w:t>
            </w:r>
            <w:r w:rsidR="00024F97" w:rsidRPr="00024F97">
              <w:rPr>
                <w:rFonts w:cs="Calibri"/>
                <w:i/>
              </w:rPr>
              <w:t xml:space="preserve"> the objective of a pricing </w:t>
            </w:r>
            <w:r w:rsidR="00024F97" w:rsidRPr="00024F97">
              <w:rPr>
                <w:rFonts w:cs="Calibri"/>
                <w:i/>
              </w:rPr>
              <w:t>scheme</w:t>
            </w:r>
            <w:r w:rsidR="00024F97" w:rsidRPr="00024F97">
              <w:rPr>
                <w:rFonts w:cs="Calibri"/>
                <w:i/>
              </w:rPr>
              <w:t xml:space="preserve"> that considers the following effectual efficiencies; </w:t>
            </w:r>
            <w:r w:rsidR="00024F97" w:rsidRPr="00024F97">
              <w:rPr>
                <w:rFonts w:cs="Calibri"/>
                <w:i/>
              </w:rPr>
              <w:t>platform service price, value-added service specified</w:t>
            </w:r>
            <w:r w:rsidR="00024F97" w:rsidRPr="00024F97">
              <w:rPr>
                <w:rFonts w:cs="Calibri"/>
                <w:i/>
              </w:rPr>
              <w:t xml:space="preserve"> </w:t>
            </w:r>
            <w:r w:rsidR="00024F97" w:rsidRPr="00024F97">
              <w:rPr>
                <w:rFonts w:cs="Calibri"/>
                <w:i/>
              </w:rPr>
              <w:t>costs, and efficiency incentives.</w:t>
            </w:r>
          </w:p>
          <w:p w:rsidR="00D40A2C" w:rsidRPr="00EB086C" w:rsidRDefault="00D40A2C" w:rsidP="0087713B">
            <w:pPr>
              <w:autoSpaceDE w:val="0"/>
              <w:autoSpaceDN w:val="0"/>
              <w:adjustRightInd w:val="0"/>
              <w:rPr>
                <w:rFonts w:ascii="Calibri" w:hAnsi="Calibri" w:cs="Calibri"/>
                <w:i/>
              </w:rPr>
            </w:pPr>
            <w:r>
              <w:t>Platform Service Price</w:t>
            </w:r>
            <w:r w:rsidR="00024F97">
              <w:t xml:space="preserve"> </w:t>
            </w:r>
            <w:r w:rsidR="0087713B">
              <w:t>–</w:t>
            </w:r>
            <w:r w:rsidR="00024F97">
              <w:t xml:space="preserve"> </w:t>
            </w:r>
            <w:r w:rsidR="0087713B" w:rsidRPr="00EB086C">
              <w:rPr>
                <w:rFonts w:ascii="Calibri" w:hAnsi="Calibri" w:cs="Calibri"/>
                <w:i/>
              </w:rPr>
              <w:t>This</w:t>
            </w:r>
            <w:r w:rsidR="0087713B" w:rsidRPr="00EB086C">
              <w:rPr>
                <w:rFonts w:ascii="Calibri" w:hAnsi="Calibri" w:cs="Calibri"/>
                <w:i/>
              </w:rPr>
              <w:t xml:space="preserve"> service price is expected</w:t>
            </w:r>
            <w:r w:rsidR="0087713B" w:rsidRPr="00EB086C">
              <w:rPr>
                <w:rFonts w:ascii="Calibri" w:hAnsi="Calibri" w:cs="Calibri"/>
                <w:i/>
              </w:rPr>
              <w:t xml:space="preserve"> </w:t>
            </w:r>
            <w:r w:rsidR="0087713B" w:rsidRPr="00EB086C">
              <w:rPr>
                <w:rFonts w:cs="Calibri"/>
                <w:i/>
              </w:rPr>
              <w:t>to be paid by all customers, whether or not they need the service blend as specified.</w:t>
            </w:r>
            <w:r w:rsidR="0087713B" w:rsidRPr="00EB086C">
              <w:rPr>
                <w:rFonts w:cs="Calibri"/>
                <w:i/>
              </w:rPr>
              <w:t xml:space="preserve"> An example of this pricing fundamental could be identified in the ‘</w:t>
            </w:r>
            <w:r w:rsidR="00EB086C" w:rsidRPr="00EB086C">
              <w:rPr>
                <w:rFonts w:cs="Calibri"/>
                <w:i/>
              </w:rPr>
              <w:t>Council</w:t>
            </w:r>
            <w:r w:rsidR="0087713B" w:rsidRPr="00EB086C">
              <w:rPr>
                <w:rFonts w:cs="Calibri"/>
                <w:i/>
              </w:rPr>
              <w:t xml:space="preserve"> Tax’ scheme</w:t>
            </w:r>
            <w:r w:rsidR="008036A2" w:rsidRPr="00EB086C">
              <w:rPr>
                <w:rFonts w:cs="Calibri"/>
                <w:i/>
              </w:rPr>
              <w:t xml:space="preserve"> which caters for </w:t>
            </w:r>
            <w:r w:rsidR="0033776C" w:rsidRPr="00EB086C">
              <w:rPr>
                <w:rFonts w:cs="Calibri"/>
                <w:i/>
              </w:rPr>
              <w:t xml:space="preserve">local services such as waste management and schooling despite a service user opting to use a more bespoke and privately paid for service, similarly with the NHS (UK). </w:t>
            </w:r>
          </w:p>
          <w:p w:rsidR="00D40A2C" w:rsidRPr="00EB086C" w:rsidRDefault="00D40A2C" w:rsidP="00EB086C">
            <w:pPr>
              <w:pStyle w:val="ListParagraph"/>
              <w:numPr>
                <w:ilvl w:val="0"/>
                <w:numId w:val="10"/>
              </w:numPr>
              <w:autoSpaceDE w:val="0"/>
              <w:autoSpaceDN w:val="0"/>
              <w:adjustRightInd w:val="0"/>
              <w:rPr>
                <w:rFonts w:cs="Calibri"/>
                <w:i/>
              </w:rPr>
            </w:pPr>
            <w:r w:rsidRPr="00EB086C">
              <w:t>Value-Added Service Costs</w:t>
            </w:r>
            <w:r w:rsidR="00024F97" w:rsidRPr="00EB086C">
              <w:t xml:space="preserve"> </w:t>
            </w:r>
            <w:r w:rsidR="00EB086C">
              <w:t>–</w:t>
            </w:r>
            <w:r w:rsidR="00024F97" w:rsidRPr="00EB086C">
              <w:t xml:space="preserve"> </w:t>
            </w:r>
            <w:r w:rsidR="00EB086C" w:rsidRPr="00EB086C">
              <w:rPr>
                <w:i/>
              </w:rPr>
              <w:t xml:space="preserve">A </w:t>
            </w:r>
            <w:r w:rsidR="00EB086C" w:rsidRPr="00EB086C">
              <w:rPr>
                <w:rFonts w:cs="Calibri"/>
                <w:i/>
              </w:rPr>
              <w:t>second feature of menu pricing involves clarifying charges for conformity to the customer’s required additional</w:t>
            </w:r>
            <w:r w:rsidR="00EB086C" w:rsidRPr="00EB086C">
              <w:rPr>
                <w:rFonts w:cs="Calibri"/>
                <w:i/>
              </w:rPr>
              <w:t xml:space="preserve"> </w:t>
            </w:r>
            <w:r w:rsidR="00EB086C" w:rsidRPr="00EB086C">
              <w:rPr>
                <w:rFonts w:cs="Calibri"/>
                <w:i/>
              </w:rPr>
              <w:t>activities. This method results in every client paying for the particular grouping of services that they wants.</w:t>
            </w:r>
          </w:p>
          <w:p w:rsidR="00EB086C" w:rsidRPr="00EB086C" w:rsidRDefault="00EB086C" w:rsidP="00EB086C">
            <w:pPr>
              <w:autoSpaceDE w:val="0"/>
              <w:autoSpaceDN w:val="0"/>
              <w:adjustRightInd w:val="0"/>
              <w:rPr>
                <w:rFonts w:cs="Calibri"/>
              </w:rPr>
            </w:pPr>
          </w:p>
          <w:p w:rsidR="00D40A2C" w:rsidRPr="008B213A" w:rsidRDefault="00803C9D" w:rsidP="00D40A2C">
            <w:pPr>
              <w:rPr>
                <w:i/>
              </w:rPr>
            </w:pPr>
            <w:r>
              <w:t>Although all the above strategies available support the overall strategies, they are however limited to the effectiveness each will have on either a specific group of end users or the times of the year (seasonal strategies).</w:t>
            </w:r>
            <w:r w:rsidR="002C0E54">
              <w:t xml:space="preserve"> Because not all can be utilized effectively </w:t>
            </w:r>
            <w:r w:rsidR="002D6785">
              <w:t xml:space="preserve">as a certainty for success without taking into account the competitive impact by way of </w:t>
            </w:r>
            <w:r w:rsidR="00EF5E42">
              <w:t xml:space="preserve">potential discrimination </w:t>
            </w:r>
            <w:r w:rsidR="00E058B3">
              <w:t xml:space="preserve">between buyers and sellers. </w:t>
            </w:r>
            <w:r w:rsidR="00295846">
              <w:t xml:space="preserve">In accordance with the ‘Clayton Act of 1914’ which was later altered by the ‘Robinson-Patman Act 1936’ </w:t>
            </w:r>
            <w:r w:rsidR="008B213A">
              <w:t>–</w:t>
            </w:r>
            <w:r w:rsidR="00295846">
              <w:t xml:space="preserve"> </w:t>
            </w:r>
            <w:r w:rsidR="008B213A" w:rsidRPr="008B213A">
              <w:rPr>
                <w:i/>
              </w:rPr>
              <w:t xml:space="preserve">disallows </w:t>
            </w:r>
            <w:r w:rsidR="008B213A" w:rsidRPr="008B213A">
              <w:rPr>
                <w:rFonts w:ascii="Calibri" w:hAnsi="Calibri" w:cs="Calibri"/>
                <w:i/>
              </w:rPr>
              <w:t xml:space="preserve">price </w:t>
            </w:r>
            <w:r w:rsidR="008B213A" w:rsidRPr="008B213A">
              <w:rPr>
                <w:rFonts w:ascii="Calibri" w:hAnsi="Calibri" w:cs="Calibri"/>
                <w:i/>
              </w:rPr>
              <w:t>favoritism</w:t>
            </w:r>
            <w:r w:rsidR="008B213A" w:rsidRPr="008B213A">
              <w:rPr>
                <w:rFonts w:ascii="Calibri" w:hAnsi="Calibri" w:cs="Calibri"/>
                <w:i/>
              </w:rPr>
              <w:t xml:space="preserve"> among buyers when the practices "considerably lessen competition."</w:t>
            </w:r>
          </w:p>
          <w:p w:rsidR="009518E9" w:rsidRDefault="009511ED" w:rsidP="009518E9">
            <w:r>
              <w:t xml:space="preserve">This act was key in aligning the varied interests of all buyers instead of ‘big-business’ buyers whom were (at the time) gaining a much favored pricing strategy as supposed to less prominent (sizable) organizations. </w:t>
            </w:r>
            <w:r w:rsidR="00A21051">
              <w:t xml:space="preserve">In practice such favoritism gave an unfair costing </w:t>
            </w:r>
            <w:r w:rsidR="00DC34B4">
              <w:t xml:space="preserve">to some buyers </w:t>
            </w:r>
            <w:r w:rsidR="00A21051">
              <w:t xml:space="preserve">within the ‘Zone Pricing’ schemes because </w:t>
            </w:r>
            <w:r w:rsidR="00DC34B4">
              <w:t xml:space="preserve">the delivered price varied for similar products delivered to their direct competitors especially if the net consequence is to charge a </w:t>
            </w:r>
            <w:r w:rsidR="00DC34B4" w:rsidRPr="00F17594">
              <w:rPr>
                <w:i/>
              </w:rPr>
              <w:t>dissimilar delivered prices of the same product.</w:t>
            </w:r>
            <w:r w:rsidR="00DC34B4">
              <w:t xml:space="preserve"> </w:t>
            </w:r>
            <w:r w:rsidR="00D41A51">
              <w:t>Looking further into the practice the act</w:t>
            </w:r>
            <w:r w:rsidR="003D18FB">
              <w:t xml:space="preserve"> (</w:t>
            </w:r>
            <w:r w:rsidR="003D18FB">
              <w:t>Robinson-Patman Act 1936</w:t>
            </w:r>
            <w:r w:rsidR="003D18FB">
              <w:t xml:space="preserve">) </w:t>
            </w:r>
            <w:r w:rsidR="00D41A51">
              <w:t>sought to identify if sellers acted independently when considering their pricing fundamental strategies as supposed to in c</w:t>
            </w:r>
            <w:r w:rsidR="009B2905">
              <w:t xml:space="preserve">ollusion with competitors. In recent past, such </w:t>
            </w:r>
            <w:r w:rsidR="003D7528">
              <w:t>activities</w:t>
            </w:r>
            <w:r w:rsidR="009B2905">
              <w:t xml:space="preserve"> have been reprimanded by the law </w:t>
            </w:r>
            <w:r w:rsidR="003D18FB">
              <w:t xml:space="preserve">(UK) </w:t>
            </w:r>
            <w:r w:rsidR="009B2905">
              <w:t xml:space="preserve">namely in the Barclays </w:t>
            </w:r>
            <w:r w:rsidR="009B2905" w:rsidRPr="009B2905">
              <w:rPr>
                <w:i/>
              </w:rPr>
              <w:t>price-fixing</w:t>
            </w:r>
            <w:r w:rsidR="00BD7033">
              <w:t xml:space="preserve"> scandal (The Telegraph, 2015)</w:t>
            </w:r>
            <w:r w:rsidR="003D18FB">
              <w:t xml:space="preserve"> where such pricing fundamental strategies were compromised as the organizations named were working in </w:t>
            </w:r>
            <w:r w:rsidR="003D18FB" w:rsidRPr="003D18FB">
              <w:rPr>
                <w:i/>
              </w:rPr>
              <w:t>involvement</w:t>
            </w:r>
            <w:r w:rsidR="003D18FB">
              <w:t xml:space="preserve"> together</w:t>
            </w:r>
            <w:r w:rsidR="00BD7033">
              <w:t xml:space="preserve">. </w:t>
            </w:r>
          </w:p>
          <w:p w:rsidR="00045481" w:rsidRDefault="00045481" w:rsidP="009518E9"/>
          <w:p w:rsidR="00045481" w:rsidRDefault="00045481" w:rsidP="009518E9">
            <w:r>
              <w:t>But yet with the above case/scandal</w:t>
            </w:r>
            <w:r w:rsidR="009378E4">
              <w:t>, p</w:t>
            </w:r>
            <w:r>
              <w:t xml:space="preserve">roving such activities can be somewhat difficult and so the respective authorities (both in the UK and USA) require such validities in order to proceed with punitive actions against those found to be at odds with the true nature of the pricing fundamentals within the supply chain strategy.  </w:t>
            </w:r>
          </w:p>
          <w:p w:rsidR="0047068D" w:rsidRDefault="0047068D" w:rsidP="009518E9"/>
          <w:p w:rsidR="0047068D" w:rsidRDefault="0047068D" w:rsidP="009518E9">
            <w:r>
              <w:t>3.</w:t>
            </w:r>
          </w:p>
          <w:p w:rsidR="0047068D" w:rsidRDefault="0047068D" w:rsidP="009518E9"/>
          <w:p w:rsidR="00EB77B5" w:rsidRDefault="00200500" w:rsidP="009518E9">
            <w:r>
              <w:t xml:space="preserve">Channel Mapping and Matrix Approach play a significant importance for a channel design process by way of allowing the careful planning and subsequent execution of the </w:t>
            </w:r>
            <w:r w:rsidR="00121A1B">
              <w:t xml:space="preserve">daily activities involved in the distribution channel. </w:t>
            </w:r>
            <w:r w:rsidR="0021252C">
              <w:t>Considering the fact that within a distribution channel there exis</w:t>
            </w:r>
            <w:r w:rsidR="003A2E45">
              <w:t>ts numerous organizations and or</w:t>
            </w:r>
            <w:r w:rsidR="0021252C">
              <w:t xml:space="preserve"> intermediaries, each one has its own operational objectives that it must achieve in order to be operationally effective, therefore every aspect of their planned activities must be carefully considered as an aspect of the overall channel mapping/ matrix approach. </w:t>
            </w:r>
          </w:p>
          <w:p w:rsidR="001D619A" w:rsidRDefault="003A2E45" w:rsidP="009518E9">
            <w:r>
              <w:t xml:space="preserve">The underlining reasoning for channel mapping is to give a clear </w:t>
            </w:r>
            <w:r w:rsidRPr="003A2E45">
              <w:rPr>
                <w:i/>
              </w:rPr>
              <w:t>insight into the existing processes and set up a blueprint for change</w:t>
            </w:r>
            <w:r>
              <w:t xml:space="preserve">. </w:t>
            </w:r>
            <w:r w:rsidR="0070413C">
              <w:t xml:space="preserve">It will also bring to light any ineffective/inefficient activities that will cause a detriment to </w:t>
            </w:r>
            <w:r w:rsidR="00C706C8">
              <w:t xml:space="preserve">the whole distribution channel which if left unattended, could limit the experience to a merely instances of single-transaction channels or conventional channel interactions. </w:t>
            </w:r>
          </w:p>
          <w:p w:rsidR="001D619A" w:rsidRDefault="001D619A" w:rsidP="009518E9"/>
          <w:p w:rsidR="003A2E45" w:rsidRDefault="001D619A" w:rsidP="009518E9">
            <w:r>
              <w:lastRenderedPageBreak/>
              <w:t>The Matrix Approach on the other hand makes the distinction of not just identifying problems but also considering the ‘best practice’ of the firms aligned within the ch</w:t>
            </w:r>
            <w:r w:rsidR="00712D51">
              <w:t>annel</w:t>
            </w:r>
            <w:r w:rsidR="002D793E">
              <w:t xml:space="preserve">-by </w:t>
            </w:r>
            <w:r w:rsidR="00712D51">
              <w:t>utilizing the most effective activities that can be perform</w:t>
            </w:r>
            <w:r w:rsidR="004931F1">
              <w:t>ed to the serve the end user</w:t>
            </w:r>
            <w:r w:rsidR="00712D51">
              <w:t xml:space="preserve"> overall. </w:t>
            </w:r>
            <w:r w:rsidR="002D793E">
              <w:t xml:space="preserve">The key identifying factor in the matrix approach is that it will consider the best activities, personnel or channel relationships to best accomplish the distribution objectives of the supply chain overall. </w:t>
            </w:r>
          </w:p>
          <w:p w:rsidR="00BA475C" w:rsidRDefault="00BA475C" w:rsidP="009518E9"/>
          <w:p w:rsidR="00BA475C" w:rsidRDefault="00BA475C" w:rsidP="009518E9">
            <w:r>
              <w:t xml:space="preserve">So in conclusion </w:t>
            </w:r>
            <w:r w:rsidRPr="00BA475C">
              <w:rPr>
                <w:i/>
              </w:rPr>
              <w:t>Channel Mapping and Matrix Approach</w:t>
            </w:r>
            <w:r>
              <w:t xml:space="preserve"> play a significant importance for a channel design process</w:t>
            </w:r>
            <w:r>
              <w:t xml:space="preserve"> because they combine two forms of activities that enable the identifying of ineffective efficiencies with a clear blueprint, but then using that information to best accomplish the activities to ensure that the goods/products destined for transportation to the varying end user locations can be distributed with a seamless and most cost effective delivery. </w:t>
            </w:r>
          </w:p>
          <w:p w:rsidR="0047068D" w:rsidRDefault="0047068D" w:rsidP="009518E9"/>
          <w:p w:rsidR="003D7528" w:rsidRDefault="003D7528" w:rsidP="009518E9"/>
          <w:p w:rsidR="003D7528" w:rsidRDefault="003D7528" w:rsidP="009518E9">
            <w:r>
              <w:t>Reference:</w:t>
            </w:r>
          </w:p>
          <w:p w:rsidR="003D7528" w:rsidRDefault="003D7528" w:rsidP="009518E9"/>
          <w:p w:rsidR="003D7528" w:rsidRPr="0098150E" w:rsidRDefault="003D7528" w:rsidP="003D7528">
            <w:pPr>
              <w:rPr>
                <w:sz w:val="14"/>
              </w:rPr>
            </w:pPr>
            <w:r w:rsidRPr="003D7528">
              <w:rPr>
                <w:rFonts w:ascii="Arial" w:eastAsia="Times New Roman" w:hAnsi="Arial" w:cs="Arial"/>
                <w:bCs/>
                <w:szCs w:val="36"/>
              </w:rPr>
              <w:t>James Titcomb (2015) Barclays handed biggest bank fine in UK history over 'brazen' currency rigging. Online at: http://www.telegraph.co.uk/finance/newsbysector/banksandfinance/11619188/Barclays-handed-biggest-bank-fine-in-UK-history-over-brazen-currency-rigging.html [Accessed</w:t>
            </w:r>
            <w:r w:rsidRPr="0098150E">
              <w:rPr>
                <w:rFonts w:ascii="Arial" w:eastAsia="Times New Roman" w:hAnsi="Arial" w:cs="Arial"/>
                <w:bCs/>
                <w:szCs w:val="36"/>
              </w:rPr>
              <w:t xml:space="preserve">: </w:t>
            </w:r>
            <w:r w:rsidRPr="003D7528">
              <w:rPr>
                <w:rFonts w:ascii="Arial" w:eastAsia="Times New Roman" w:hAnsi="Arial" w:cs="Arial"/>
                <w:bCs/>
                <w:szCs w:val="36"/>
              </w:rPr>
              <w:t>26.10.2017]</w:t>
            </w:r>
          </w:p>
          <w:p w:rsidR="003D7528" w:rsidRPr="009518E9" w:rsidRDefault="003D7528" w:rsidP="009518E9"/>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E55C0" w:rsidP="00CE55C0">
            <w:pPr>
              <w:jc w:val="center"/>
              <w:rPr>
                <w:rFonts w:cs="Bliss-Regular"/>
                <w:color w:val="000000"/>
              </w:rPr>
            </w:pPr>
            <w:r>
              <w:rPr>
                <w:rFonts w:cs="Bliss-Regular"/>
                <w:color w:val="000000"/>
              </w:rPr>
              <w:t>A Kargbo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E55C0" w:rsidP="00A851DA">
            <w:pPr>
              <w:rPr>
                <w:rFonts w:cs="Bliss-Regular"/>
                <w:color w:val="000000"/>
              </w:rPr>
            </w:pPr>
            <w:r>
              <w:rPr>
                <w:rFonts w:cs="Bliss-Regular"/>
                <w:color w:val="000000"/>
              </w:rPr>
              <w:t>6.11.2017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7BD0" w:rsidRDefault="00397BD0" w:rsidP="00CB4D0A">
      <w:pPr>
        <w:spacing w:after="0" w:line="240" w:lineRule="auto"/>
      </w:pPr>
      <w:r>
        <w:separator/>
      </w:r>
    </w:p>
  </w:endnote>
  <w:endnote w:type="continuationSeparator" w:id="0">
    <w:p w:rsidR="00397BD0" w:rsidRDefault="00397BD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7BD0" w:rsidRDefault="00397BD0" w:rsidP="00CB4D0A">
      <w:pPr>
        <w:spacing w:after="0" w:line="240" w:lineRule="auto"/>
      </w:pPr>
      <w:r>
        <w:separator/>
      </w:r>
    </w:p>
  </w:footnote>
  <w:footnote w:type="continuationSeparator" w:id="0">
    <w:p w:rsidR="00397BD0" w:rsidRDefault="00397BD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C337F"/>
    <w:multiLevelType w:val="hybridMultilevel"/>
    <w:tmpl w:val="98F68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A063DF"/>
    <w:multiLevelType w:val="hybridMultilevel"/>
    <w:tmpl w:val="7E120E1C"/>
    <w:lvl w:ilvl="0" w:tplc="0809000F">
      <w:start w:val="1"/>
      <w:numFmt w:val="decimal"/>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2" w15:restartNumberingAfterBreak="0">
    <w:nsid w:val="1C411C79"/>
    <w:multiLevelType w:val="hybridMultilevel"/>
    <w:tmpl w:val="EBB048F4"/>
    <w:lvl w:ilvl="0" w:tplc="08090013">
      <w:start w:val="1"/>
      <w:numFmt w:val="upperRoman"/>
      <w:lvlText w:val="%1."/>
      <w:lvlJc w:val="right"/>
      <w:pPr>
        <w:ind w:left="1490" w:hanging="360"/>
      </w:pPr>
    </w:lvl>
    <w:lvl w:ilvl="1" w:tplc="08090019" w:tentative="1">
      <w:start w:val="1"/>
      <w:numFmt w:val="lowerLetter"/>
      <w:lvlText w:val="%2."/>
      <w:lvlJc w:val="left"/>
      <w:pPr>
        <w:ind w:left="2210" w:hanging="360"/>
      </w:pPr>
    </w:lvl>
    <w:lvl w:ilvl="2" w:tplc="0809001B" w:tentative="1">
      <w:start w:val="1"/>
      <w:numFmt w:val="lowerRoman"/>
      <w:lvlText w:val="%3."/>
      <w:lvlJc w:val="right"/>
      <w:pPr>
        <w:ind w:left="2930" w:hanging="180"/>
      </w:pPr>
    </w:lvl>
    <w:lvl w:ilvl="3" w:tplc="0809000F" w:tentative="1">
      <w:start w:val="1"/>
      <w:numFmt w:val="decimal"/>
      <w:lvlText w:val="%4."/>
      <w:lvlJc w:val="left"/>
      <w:pPr>
        <w:ind w:left="3650" w:hanging="360"/>
      </w:pPr>
    </w:lvl>
    <w:lvl w:ilvl="4" w:tplc="08090019" w:tentative="1">
      <w:start w:val="1"/>
      <w:numFmt w:val="lowerLetter"/>
      <w:lvlText w:val="%5."/>
      <w:lvlJc w:val="left"/>
      <w:pPr>
        <w:ind w:left="4370" w:hanging="360"/>
      </w:pPr>
    </w:lvl>
    <w:lvl w:ilvl="5" w:tplc="0809001B" w:tentative="1">
      <w:start w:val="1"/>
      <w:numFmt w:val="lowerRoman"/>
      <w:lvlText w:val="%6."/>
      <w:lvlJc w:val="right"/>
      <w:pPr>
        <w:ind w:left="5090" w:hanging="180"/>
      </w:pPr>
    </w:lvl>
    <w:lvl w:ilvl="6" w:tplc="0809000F" w:tentative="1">
      <w:start w:val="1"/>
      <w:numFmt w:val="decimal"/>
      <w:lvlText w:val="%7."/>
      <w:lvlJc w:val="left"/>
      <w:pPr>
        <w:ind w:left="5810" w:hanging="360"/>
      </w:pPr>
    </w:lvl>
    <w:lvl w:ilvl="7" w:tplc="08090019" w:tentative="1">
      <w:start w:val="1"/>
      <w:numFmt w:val="lowerLetter"/>
      <w:lvlText w:val="%8."/>
      <w:lvlJc w:val="left"/>
      <w:pPr>
        <w:ind w:left="6530" w:hanging="360"/>
      </w:pPr>
    </w:lvl>
    <w:lvl w:ilvl="8" w:tplc="0809001B" w:tentative="1">
      <w:start w:val="1"/>
      <w:numFmt w:val="lowerRoman"/>
      <w:lvlText w:val="%9."/>
      <w:lvlJc w:val="right"/>
      <w:pPr>
        <w:ind w:left="7250" w:hanging="180"/>
      </w:pPr>
    </w:lvl>
  </w:abstractNum>
  <w:abstractNum w:abstractNumId="3" w15:restartNumberingAfterBreak="0">
    <w:nsid w:val="30C82BBB"/>
    <w:multiLevelType w:val="hybridMultilevel"/>
    <w:tmpl w:val="51721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8F676D"/>
    <w:multiLevelType w:val="hybridMultilevel"/>
    <w:tmpl w:val="8ADEFE04"/>
    <w:lvl w:ilvl="0" w:tplc="08090013">
      <w:start w:val="1"/>
      <w:numFmt w:val="upperRoman"/>
      <w:lvlText w:val="%1."/>
      <w:lvlJc w:val="righ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7C166E"/>
    <w:multiLevelType w:val="hybridMultilevel"/>
    <w:tmpl w:val="6654FD46"/>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7" w15:restartNumberingAfterBreak="0">
    <w:nsid w:val="5B476CDE"/>
    <w:multiLevelType w:val="hybridMultilevel"/>
    <w:tmpl w:val="89FAE6F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8" w15:restartNumberingAfterBreak="0">
    <w:nsid w:val="66C55922"/>
    <w:multiLevelType w:val="hybridMultilevel"/>
    <w:tmpl w:val="750849EA"/>
    <w:lvl w:ilvl="0" w:tplc="08090019">
      <w:start w:val="1"/>
      <w:numFmt w:val="lowerLetter"/>
      <w:lvlText w:val="%1."/>
      <w:lvlJc w:val="left"/>
      <w:pPr>
        <w:ind w:left="825" w:hanging="360"/>
      </w:pPr>
    </w:lvl>
    <w:lvl w:ilvl="1" w:tplc="08090019" w:tentative="1">
      <w:start w:val="1"/>
      <w:numFmt w:val="lowerLetter"/>
      <w:lvlText w:val="%2."/>
      <w:lvlJc w:val="left"/>
      <w:pPr>
        <w:ind w:left="1545" w:hanging="360"/>
      </w:pPr>
    </w:lvl>
    <w:lvl w:ilvl="2" w:tplc="0809001B" w:tentative="1">
      <w:start w:val="1"/>
      <w:numFmt w:val="lowerRoman"/>
      <w:lvlText w:val="%3."/>
      <w:lvlJc w:val="right"/>
      <w:pPr>
        <w:ind w:left="2265" w:hanging="180"/>
      </w:pPr>
    </w:lvl>
    <w:lvl w:ilvl="3" w:tplc="0809000F" w:tentative="1">
      <w:start w:val="1"/>
      <w:numFmt w:val="decimal"/>
      <w:lvlText w:val="%4."/>
      <w:lvlJc w:val="left"/>
      <w:pPr>
        <w:ind w:left="2985" w:hanging="360"/>
      </w:pPr>
    </w:lvl>
    <w:lvl w:ilvl="4" w:tplc="08090019" w:tentative="1">
      <w:start w:val="1"/>
      <w:numFmt w:val="lowerLetter"/>
      <w:lvlText w:val="%5."/>
      <w:lvlJc w:val="left"/>
      <w:pPr>
        <w:ind w:left="3705" w:hanging="360"/>
      </w:pPr>
    </w:lvl>
    <w:lvl w:ilvl="5" w:tplc="0809001B" w:tentative="1">
      <w:start w:val="1"/>
      <w:numFmt w:val="lowerRoman"/>
      <w:lvlText w:val="%6."/>
      <w:lvlJc w:val="right"/>
      <w:pPr>
        <w:ind w:left="4425" w:hanging="180"/>
      </w:pPr>
    </w:lvl>
    <w:lvl w:ilvl="6" w:tplc="0809000F" w:tentative="1">
      <w:start w:val="1"/>
      <w:numFmt w:val="decimal"/>
      <w:lvlText w:val="%7."/>
      <w:lvlJc w:val="left"/>
      <w:pPr>
        <w:ind w:left="5145" w:hanging="360"/>
      </w:pPr>
    </w:lvl>
    <w:lvl w:ilvl="7" w:tplc="08090019" w:tentative="1">
      <w:start w:val="1"/>
      <w:numFmt w:val="lowerLetter"/>
      <w:lvlText w:val="%8."/>
      <w:lvlJc w:val="left"/>
      <w:pPr>
        <w:ind w:left="5865" w:hanging="360"/>
      </w:pPr>
    </w:lvl>
    <w:lvl w:ilvl="8" w:tplc="0809001B" w:tentative="1">
      <w:start w:val="1"/>
      <w:numFmt w:val="lowerRoman"/>
      <w:lvlText w:val="%9."/>
      <w:lvlJc w:val="right"/>
      <w:pPr>
        <w:ind w:left="6585" w:hanging="180"/>
      </w:pPr>
    </w:lvl>
  </w:abstractNum>
  <w:abstractNum w:abstractNumId="9" w15:restartNumberingAfterBreak="0">
    <w:nsid w:val="7B16552B"/>
    <w:multiLevelType w:val="hybridMultilevel"/>
    <w:tmpl w:val="20E4248C"/>
    <w:lvl w:ilvl="0" w:tplc="08090001">
      <w:start w:val="1"/>
      <w:numFmt w:val="bullet"/>
      <w:lvlText w:val=""/>
      <w:lvlJc w:val="left"/>
      <w:pPr>
        <w:ind w:left="921" w:hanging="360"/>
      </w:pPr>
      <w:rPr>
        <w:rFonts w:ascii="Symbol" w:hAnsi="Symbol" w:hint="default"/>
      </w:rPr>
    </w:lvl>
    <w:lvl w:ilvl="1" w:tplc="08090003" w:tentative="1">
      <w:start w:val="1"/>
      <w:numFmt w:val="bullet"/>
      <w:lvlText w:val="o"/>
      <w:lvlJc w:val="left"/>
      <w:pPr>
        <w:ind w:left="1641" w:hanging="360"/>
      </w:pPr>
      <w:rPr>
        <w:rFonts w:ascii="Courier New" w:hAnsi="Courier New" w:cs="Courier New" w:hint="default"/>
      </w:rPr>
    </w:lvl>
    <w:lvl w:ilvl="2" w:tplc="08090005" w:tentative="1">
      <w:start w:val="1"/>
      <w:numFmt w:val="bullet"/>
      <w:lvlText w:val=""/>
      <w:lvlJc w:val="left"/>
      <w:pPr>
        <w:ind w:left="2361" w:hanging="360"/>
      </w:pPr>
      <w:rPr>
        <w:rFonts w:ascii="Wingdings" w:hAnsi="Wingdings" w:hint="default"/>
      </w:rPr>
    </w:lvl>
    <w:lvl w:ilvl="3" w:tplc="08090001" w:tentative="1">
      <w:start w:val="1"/>
      <w:numFmt w:val="bullet"/>
      <w:lvlText w:val=""/>
      <w:lvlJc w:val="left"/>
      <w:pPr>
        <w:ind w:left="3081" w:hanging="360"/>
      </w:pPr>
      <w:rPr>
        <w:rFonts w:ascii="Symbol" w:hAnsi="Symbol" w:hint="default"/>
      </w:rPr>
    </w:lvl>
    <w:lvl w:ilvl="4" w:tplc="08090003" w:tentative="1">
      <w:start w:val="1"/>
      <w:numFmt w:val="bullet"/>
      <w:lvlText w:val="o"/>
      <w:lvlJc w:val="left"/>
      <w:pPr>
        <w:ind w:left="3801" w:hanging="360"/>
      </w:pPr>
      <w:rPr>
        <w:rFonts w:ascii="Courier New" w:hAnsi="Courier New" w:cs="Courier New" w:hint="default"/>
      </w:rPr>
    </w:lvl>
    <w:lvl w:ilvl="5" w:tplc="08090005" w:tentative="1">
      <w:start w:val="1"/>
      <w:numFmt w:val="bullet"/>
      <w:lvlText w:val=""/>
      <w:lvlJc w:val="left"/>
      <w:pPr>
        <w:ind w:left="4521" w:hanging="360"/>
      </w:pPr>
      <w:rPr>
        <w:rFonts w:ascii="Wingdings" w:hAnsi="Wingdings" w:hint="default"/>
      </w:rPr>
    </w:lvl>
    <w:lvl w:ilvl="6" w:tplc="08090001" w:tentative="1">
      <w:start w:val="1"/>
      <w:numFmt w:val="bullet"/>
      <w:lvlText w:val=""/>
      <w:lvlJc w:val="left"/>
      <w:pPr>
        <w:ind w:left="5241" w:hanging="360"/>
      </w:pPr>
      <w:rPr>
        <w:rFonts w:ascii="Symbol" w:hAnsi="Symbol" w:hint="default"/>
      </w:rPr>
    </w:lvl>
    <w:lvl w:ilvl="7" w:tplc="08090003" w:tentative="1">
      <w:start w:val="1"/>
      <w:numFmt w:val="bullet"/>
      <w:lvlText w:val="o"/>
      <w:lvlJc w:val="left"/>
      <w:pPr>
        <w:ind w:left="5961" w:hanging="360"/>
      </w:pPr>
      <w:rPr>
        <w:rFonts w:ascii="Courier New" w:hAnsi="Courier New" w:cs="Courier New" w:hint="default"/>
      </w:rPr>
    </w:lvl>
    <w:lvl w:ilvl="8" w:tplc="08090005" w:tentative="1">
      <w:start w:val="1"/>
      <w:numFmt w:val="bullet"/>
      <w:lvlText w:val=""/>
      <w:lvlJc w:val="left"/>
      <w:pPr>
        <w:ind w:left="6681" w:hanging="360"/>
      </w:pPr>
      <w:rPr>
        <w:rFonts w:ascii="Wingdings" w:hAnsi="Wingdings" w:hint="default"/>
      </w:rPr>
    </w:lvl>
  </w:abstractNum>
  <w:num w:numId="1">
    <w:abstractNumId w:val="5"/>
  </w:num>
  <w:num w:numId="2">
    <w:abstractNumId w:val="4"/>
  </w:num>
  <w:num w:numId="3">
    <w:abstractNumId w:val="9"/>
  </w:num>
  <w:num w:numId="4">
    <w:abstractNumId w:val="1"/>
  </w:num>
  <w:num w:numId="5">
    <w:abstractNumId w:val="2"/>
  </w:num>
  <w:num w:numId="6">
    <w:abstractNumId w:val="8"/>
  </w:num>
  <w:num w:numId="7">
    <w:abstractNumId w:val="6"/>
  </w:num>
  <w:num w:numId="8">
    <w:abstractNumId w:val="7"/>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5836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457C"/>
    <w:rsid w:val="000158F9"/>
    <w:rsid w:val="00024F97"/>
    <w:rsid w:val="00035CDD"/>
    <w:rsid w:val="0003624A"/>
    <w:rsid w:val="00040083"/>
    <w:rsid w:val="00042DB0"/>
    <w:rsid w:val="00045481"/>
    <w:rsid w:val="00055277"/>
    <w:rsid w:val="000556E4"/>
    <w:rsid w:val="00055992"/>
    <w:rsid w:val="0006379D"/>
    <w:rsid w:val="000820E8"/>
    <w:rsid w:val="000A30F5"/>
    <w:rsid w:val="001175EE"/>
    <w:rsid w:val="00121A1B"/>
    <w:rsid w:val="00151256"/>
    <w:rsid w:val="00157CF6"/>
    <w:rsid w:val="00171E66"/>
    <w:rsid w:val="00182299"/>
    <w:rsid w:val="00182416"/>
    <w:rsid w:val="00187EB4"/>
    <w:rsid w:val="001951B9"/>
    <w:rsid w:val="001A2E7F"/>
    <w:rsid w:val="001B7F0C"/>
    <w:rsid w:val="001D619A"/>
    <w:rsid w:val="001F0481"/>
    <w:rsid w:val="00200500"/>
    <w:rsid w:val="00200C92"/>
    <w:rsid w:val="0020451E"/>
    <w:rsid w:val="00206B9D"/>
    <w:rsid w:val="0021252C"/>
    <w:rsid w:val="0023259C"/>
    <w:rsid w:val="002729D8"/>
    <w:rsid w:val="00275C50"/>
    <w:rsid w:val="00295846"/>
    <w:rsid w:val="002B0BD7"/>
    <w:rsid w:val="002B573D"/>
    <w:rsid w:val="002C0E54"/>
    <w:rsid w:val="002C5CB2"/>
    <w:rsid w:val="002D6785"/>
    <w:rsid w:val="002D793E"/>
    <w:rsid w:val="002F779F"/>
    <w:rsid w:val="0033776C"/>
    <w:rsid w:val="00371885"/>
    <w:rsid w:val="00395DB1"/>
    <w:rsid w:val="00397BD0"/>
    <w:rsid w:val="003A2E45"/>
    <w:rsid w:val="003D18FB"/>
    <w:rsid w:val="003D7528"/>
    <w:rsid w:val="003E2B87"/>
    <w:rsid w:val="00402786"/>
    <w:rsid w:val="00405895"/>
    <w:rsid w:val="004058DF"/>
    <w:rsid w:val="00443E6F"/>
    <w:rsid w:val="0047068D"/>
    <w:rsid w:val="00481EB5"/>
    <w:rsid w:val="00486F1A"/>
    <w:rsid w:val="00490CB9"/>
    <w:rsid w:val="004931F1"/>
    <w:rsid w:val="004A2CE2"/>
    <w:rsid w:val="004E3CDA"/>
    <w:rsid w:val="004F4B4D"/>
    <w:rsid w:val="0050216D"/>
    <w:rsid w:val="00503D7E"/>
    <w:rsid w:val="0050778F"/>
    <w:rsid w:val="00527C11"/>
    <w:rsid w:val="00535F31"/>
    <w:rsid w:val="00573354"/>
    <w:rsid w:val="00574D64"/>
    <w:rsid w:val="00591365"/>
    <w:rsid w:val="005B31E4"/>
    <w:rsid w:val="005E4DDE"/>
    <w:rsid w:val="005F15C4"/>
    <w:rsid w:val="005F2045"/>
    <w:rsid w:val="006034F6"/>
    <w:rsid w:val="00607874"/>
    <w:rsid w:val="00607E77"/>
    <w:rsid w:val="00615A1C"/>
    <w:rsid w:val="00617444"/>
    <w:rsid w:val="00617BB3"/>
    <w:rsid w:val="00627CC4"/>
    <w:rsid w:val="0064427D"/>
    <w:rsid w:val="00645CDD"/>
    <w:rsid w:val="00661246"/>
    <w:rsid w:val="006740E1"/>
    <w:rsid w:val="006742E1"/>
    <w:rsid w:val="006823A7"/>
    <w:rsid w:val="00687EE8"/>
    <w:rsid w:val="006B3937"/>
    <w:rsid w:val="0070347F"/>
    <w:rsid w:val="0070413C"/>
    <w:rsid w:val="0070678E"/>
    <w:rsid w:val="00712D51"/>
    <w:rsid w:val="00765EFD"/>
    <w:rsid w:val="0076631A"/>
    <w:rsid w:val="00790313"/>
    <w:rsid w:val="007A3C33"/>
    <w:rsid w:val="007A6670"/>
    <w:rsid w:val="007B21A9"/>
    <w:rsid w:val="007B5119"/>
    <w:rsid w:val="007F17AC"/>
    <w:rsid w:val="008036A2"/>
    <w:rsid w:val="00803C9D"/>
    <w:rsid w:val="00827033"/>
    <w:rsid w:val="00831C11"/>
    <w:rsid w:val="00852E4F"/>
    <w:rsid w:val="0087713B"/>
    <w:rsid w:val="00883D02"/>
    <w:rsid w:val="008A60B4"/>
    <w:rsid w:val="008B213A"/>
    <w:rsid w:val="008B3C31"/>
    <w:rsid w:val="008B64FE"/>
    <w:rsid w:val="008D31C0"/>
    <w:rsid w:val="009118DA"/>
    <w:rsid w:val="009203A0"/>
    <w:rsid w:val="00935BF7"/>
    <w:rsid w:val="009378E4"/>
    <w:rsid w:val="009511ED"/>
    <w:rsid w:val="009518E9"/>
    <w:rsid w:val="0095442C"/>
    <w:rsid w:val="0096338C"/>
    <w:rsid w:val="009755A9"/>
    <w:rsid w:val="00983942"/>
    <w:rsid w:val="009B25FE"/>
    <w:rsid w:val="009B2905"/>
    <w:rsid w:val="009C37E0"/>
    <w:rsid w:val="009E2131"/>
    <w:rsid w:val="009E41F4"/>
    <w:rsid w:val="00A14B66"/>
    <w:rsid w:val="00A21051"/>
    <w:rsid w:val="00A65CF7"/>
    <w:rsid w:val="00A76F40"/>
    <w:rsid w:val="00A81AB4"/>
    <w:rsid w:val="00A851DA"/>
    <w:rsid w:val="00AC04A9"/>
    <w:rsid w:val="00AC7D5B"/>
    <w:rsid w:val="00AE1481"/>
    <w:rsid w:val="00AF42F5"/>
    <w:rsid w:val="00B0415E"/>
    <w:rsid w:val="00B04678"/>
    <w:rsid w:val="00B43EDF"/>
    <w:rsid w:val="00B56B7A"/>
    <w:rsid w:val="00B93B29"/>
    <w:rsid w:val="00BA1EA2"/>
    <w:rsid w:val="00BA475C"/>
    <w:rsid w:val="00BC46DF"/>
    <w:rsid w:val="00BD540D"/>
    <w:rsid w:val="00BD7033"/>
    <w:rsid w:val="00BE2958"/>
    <w:rsid w:val="00C03577"/>
    <w:rsid w:val="00C21EBD"/>
    <w:rsid w:val="00C24DA1"/>
    <w:rsid w:val="00C53029"/>
    <w:rsid w:val="00C65FEA"/>
    <w:rsid w:val="00C706C8"/>
    <w:rsid w:val="00C95FCA"/>
    <w:rsid w:val="00CA0AC2"/>
    <w:rsid w:val="00CB4D0A"/>
    <w:rsid w:val="00CC2FB3"/>
    <w:rsid w:val="00CC575A"/>
    <w:rsid w:val="00CE55C0"/>
    <w:rsid w:val="00CF123B"/>
    <w:rsid w:val="00D039AC"/>
    <w:rsid w:val="00D17D6A"/>
    <w:rsid w:val="00D40A2C"/>
    <w:rsid w:val="00D41A51"/>
    <w:rsid w:val="00D427DE"/>
    <w:rsid w:val="00D5587D"/>
    <w:rsid w:val="00D707CC"/>
    <w:rsid w:val="00D821FE"/>
    <w:rsid w:val="00DA58C8"/>
    <w:rsid w:val="00DB0793"/>
    <w:rsid w:val="00DC34B4"/>
    <w:rsid w:val="00DC7E6B"/>
    <w:rsid w:val="00DE06A2"/>
    <w:rsid w:val="00E00821"/>
    <w:rsid w:val="00E04DB4"/>
    <w:rsid w:val="00E058B3"/>
    <w:rsid w:val="00E30679"/>
    <w:rsid w:val="00E4597D"/>
    <w:rsid w:val="00E478B8"/>
    <w:rsid w:val="00E54832"/>
    <w:rsid w:val="00E56A90"/>
    <w:rsid w:val="00E641CC"/>
    <w:rsid w:val="00E836DE"/>
    <w:rsid w:val="00E92A36"/>
    <w:rsid w:val="00EA30AB"/>
    <w:rsid w:val="00EA7E34"/>
    <w:rsid w:val="00EB086C"/>
    <w:rsid w:val="00EB3925"/>
    <w:rsid w:val="00EB77B5"/>
    <w:rsid w:val="00EF5E42"/>
    <w:rsid w:val="00F006E0"/>
    <w:rsid w:val="00F17594"/>
    <w:rsid w:val="00F802C7"/>
    <w:rsid w:val="00F96EB3"/>
    <w:rsid w:val="00FD4077"/>
    <w:rsid w:val="00FE45E2"/>
    <w:rsid w:val="00FF39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69">
      <o:colormenu v:ext="edit" strokecolor="none"/>
    </o:shapedefaults>
    <o:shapelayout v:ext="edit">
      <o:idmap v:ext="edit" data="1"/>
    </o:shapelayout>
  </w:shapeDefaults>
  <w:decimalSymbol w:val="."/>
  <w:listSeparator w:val=","/>
  <w15:docId w15:val="{B2AB936A-1C0F-46AE-BA24-EB2BD580B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85417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946EE-EF3D-4100-99E8-DB19EE630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13293</TotalTime>
  <Pages>6</Pages>
  <Words>2345</Words>
  <Characters>13372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Tesco</Company>
  <LinksUpToDate>false</LinksUpToDate>
  <CharactersWithSpaces>15686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Kargbo, Aroun</cp:lastModifiedBy>
  <cp:revision>103</cp:revision>
  <dcterms:created xsi:type="dcterms:W3CDTF">2016-11-28T23:29:00Z</dcterms:created>
  <dcterms:modified xsi:type="dcterms:W3CDTF">2017-11-06T12:44:00Z</dcterms:modified>
</cp:coreProperties>
</file>