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702466" w:rsidRDefault="00607874" w:rsidP="00A851DA">
      <w:pPr>
        <w:pStyle w:val="Default"/>
        <w:rPr>
          <w:rFonts w:asciiTheme="minorHAnsi" w:hAnsiTheme="minorHAnsi"/>
          <w:sz w:val="20"/>
          <w:szCs w:val="20"/>
        </w:rPr>
      </w:pPr>
      <w:r w:rsidRPr="00702466">
        <w:rPr>
          <w:rFonts w:asciiTheme="minorHAnsi" w:hAnsiTheme="minorHAnsi"/>
          <w:noProof/>
          <w:sz w:val="20"/>
          <w:szCs w:val="20"/>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02466">
        <w:rPr>
          <w:rFonts w:asciiTheme="minorHAnsi" w:hAnsiTheme="minorHAnsi"/>
          <w:sz w:val="20"/>
          <w:szCs w:val="20"/>
        </w:rPr>
        <w:t xml:space="preserve">                                                             </w:t>
      </w:r>
      <w:r w:rsidR="00405895" w:rsidRPr="00702466">
        <w:rPr>
          <w:rFonts w:asciiTheme="minorHAnsi" w:hAnsiTheme="minorHAnsi"/>
          <w:sz w:val="20"/>
          <w:szCs w:val="20"/>
        </w:rPr>
        <w:t xml:space="preserve">     </w:t>
      </w:r>
    </w:p>
    <w:p w:rsidR="00607874" w:rsidRPr="00702466" w:rsidRDefault="008A11CA" w:rsidP="00A851DA">
      <w:pPr>
        <w:rPr>
          <w:sz w:val="20"/>
          <w:szCs w:val="20"/>
          <w:lang w:val="en-US"/>
        </w:rPr>
      </w:pPr>
      <w:r w:rsidRPr="00702466">
        <w:rPr>
          <w:noProof/>
          <w:sz w:val="20"/>
          <w:szCs w:val="20"/>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02466" w:rsidRDefault="00607874" w:rsidP="00A851DA">
      <w:pPr>
        <w:rPr>
          <w:sz w:val="20"/>
          <w:szCs w:val="20"/>
          <w:lang w:val="en-US"/>
        </w:rPr>
      </w:pPr>
    </w:p>
    <w:p w:rsidR="00607874" w:rsidRPr="00702466" w:rsidRDefault="00607874" w:rsidP="00A851DA">
      <w:pPr>
        <w:rPr>
          <w:sz w:val="20"/>
          <w:szCs w:val="20"/>
          <w:lang w:val="en-US"/>
        </w:rPr>
      </w:pPr>
    </w:p>
    <w:p w:rsidR="00607874" w:rsidRPr="00702466" w:rsidRDefault="00607874" w:rsidP="00A851DA">
      <w:pPr>
        <w:rPr>
          <w:sz w:val="20"/>
          <w:szCs w:val="20"/>
          <w:lang w:val="en-US"/>
        </w:rPr>
      </w:pPr>
    </w:p>
    <w:tbl>
      <w:tblPr>
        <w:tblStyle w:val="Grigliatabella"/>
        <w:tblW w:w="0" w:type="auto"/>
        <w:tblLook w:val="04A0" w:firstRow="1" w:lastRow="0" w:firstColumn="1" w:lastColumn="0" w:noHBand="0" w:noVBand="1"/>
      </w:tblPr>
      <w:tblGrid>
        <w:gridCol w:w="2519"/>
        <w:gridCol w:w="6497"/>
      </w:tblGrid>
      <w:tr w:rsidR="00A851DA" w:rsidRPr="007024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02466" w:rsidRDefault="00A851DA">
            <w:pPr>
              <w:rPr>
                <w:b/>
                <w:color w:val="002060"/>
                <w:sz w:val="20"/>
                <w:szCs w:val="20"/>
              </w:rPr>
            </w:pPr>
            <w:r w:rsidRPr="00702466">
              <w:rPr>
                <w:b/>
                <w:color w:val="002060"/>
                <w:sz w:val="20"/>
                <w:szCs w:val="2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02466" w:rsidRDefault="00047E9B">
            <w:pPr>
              <w:pStyle w:val="Default"/>
              <w:rPr>
                <w:rFonts w:asciiTheme="minorHAnsi" w:hAnsiTheme="minorHAnsi"/>
                <w:sz w:val="20"/>
                <w:szCs w:val="20"/>
              </w:rPr>
            </w:pPr>
            <w:r w:rsidRPr="00702466">
              <w:rPr>
                <w:rFonts w:asciiTheme="minorHAnsi" w:hAnsiTheme="minorHAnsi"/>
                <w:sz w:val="20"/>
                <w:szCs w:val="20"/>
              </w:rPr>
              <w:t>LANA BOSANACOVA</w:t>
            </w:r>
          </w:p>
        </w:tc>
      </w:tr>
      <w:tr w:rsidR="00A851DA" w:rsidRPr="007024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02466" w:rsidRDefault="00A851DA">
            <w:pPr>
              <w:rPr>
                <w:b/>
                <w:color w:val="002060"/>
                <w:sz w:val="20"/>
                <w:szCs w:val="20"/>
              </w:rPr>
            </w:pPr>
            <w:r w:rsidRPr="00702466">
              <w:rPr>
                <w:b/>
                <w:color w:val="002060"/>
                <w:sz w:val="20"/>
                <w:szCs w:val="2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02466" w:rsidRDefault="00047E9B">
            <w:pPr>
              <w:pStyle w:val="Default"/>
              <w:rPr>
                <w:rFonts w:asciiTheme="minorHAnsi" w:hAnsiTheme="minorHAnsi"/>
                <w:sz w:val="20"/>
                <w:szCs w:val="20"/>
              </w:rPr>
            </w:pPr>
            <w:r w:rsidRPr="00702466">
              <w:rPr>
                <w:rFonts w:asciiTheme="minorHAnsi" w:hAnsiTheme="minorHAnsi"/>
                <w:sz w:val="20"/>
                <w:szCs w:val="20"/>
              </w:rPr>
              <w:t>28378</w:t>
            </w:r>
          </w:p>
        </w:tc>
      </w:tr>
      <w:tr w:rsidR="00A851DA" w:rsidRPr="007024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02466" w:rsidRDefault="00A851DA">
            <w:pPr>
              <w:rPr>
                <w:b/>
                <w:color w:val="002060"/>
                <w:sz w:val="20"/>
                <w:szCs w:val="20"/>
              </w:rPr>
            </w:pPr>
            <w:r w:rsidRPr="00702466">
              <w:rPr>
                <w:b/>
                <w:color w:val="002060"/>
                <w:sz w:val="20"/>
                <w:szCs w:val="2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02466" w:rsidRDefault="00047E9B">
            <w:pPr>
              <w:pStyle w:val="Default"/>
              <w:rPr>
                <w:rFonts w:asciiTheme="minorHAnsi" w:hAnsiTheme="minorHAnsi"/>
                <w:sz w:val="20"/>
                <w:szCs w:val="20"/>
              </w:rPr>
            </w:pPr>
            <w:r w:rsidRPr="00702466">
              <w:rPr>
                <w:rFonts w:asciiTheme="minorHAnsi" w:hAnsiTheme="minorHAnsi"/>
                <w:sz w:val="20"/>
                <w:szCs w:val="20"/>
              </w:rPr>
              <w:t>FORENSIC ACCOUNTING</w:t>
            </w:r>
          </w:p>
        </w:tc>
      </w:tr>
      <w:tr w:rsidR="00A851DA" w:rsidRPr="007024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02466" w:rsidRDefault="00A851DA">
            <w:pPr>
              <w:rPr>
                <w:b/>
                <w:color w:val="002060"/>
                <w:sz w:val="20"/>
                <w:szCs w:val="20"/>
              </w:rPr>
            </w:pPr>
            <w:r w:rsidRPr="00702466">
              <w:rPr>
                <w:b/>
                <w:color w:val="002060"/>
                <w:sz w:val="20"/>
                <w:szCs w:val="2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516B9" w:rsidRPr="00702466" w:rsidRDefault="006A1EE2">
            <w:pPr>
              <w:rPr>
                <w:sz w:val="20"/>
                <w:szCs w:val="20"/>
              </w:rPr>
            </w:pPr>
            <w:r w:rsidRPr="00702466">
              <w:rPr>
                <w:sz w:val="20"/>
                <w:szCs w:val="20"/>
              </w:rPr>
              <w:t>7</w:t>
            </w:r>
          </w:p>
        </w:tc>
      </w:tr>
    </w:tbl>
    <w:p w:rsidR="00CC2FB3" w:rsidRPr="00702466" w:rsidRDefault="00CC2FB3" w:rsidP="00A851DA">
      <w:pPr>
        <w:rPr>
          <w:b/>
          <w:sz w:val="20"/>
          <w:szCs w:val="20"/>
          <w:lang w:val="en-US"/>
        </w:rPr>
      </w:pPr>
    </w:p>
    <w:p w:rsidR="00527C11" w:rsidRPr="00702466" w:rsidRDefault="00527C11" w:rsidP="00A851DA">
      <w:pPr>
        <w:rPr>
          <w:sz w:val="20"/>
          <w:szCs w:val="20"/>
          <w:lang w:val="en-US"/>
        </w:rPr>
      </w:pPr>
    </w:p>
    <w:tbl>
      <w:tblPr>
        <w:tblStyle w:val="Grigliatabella"/>
        <w:tblW w:w="0" w:type="auto"/>
        <w:tblLook w:val="04A0" w:firstRow="1" w:lastRow="0" w:firstColumn="1" w:lastColumn="0" w:noHBand="0" w:noVBand="1"/>
      </w:tblPr>
      <w:tblGrid>
        <w:gridCol w:w="9016"/>
      </w:tblGrid>
      <w:tr w:rsidR="00113D6B" w:rsidRPr="00702466" w:rsidTr="006A1EE2">
        <w:tc>
          <w:tcPr>
            <w:tcW w:w="9016" w:type="dxa"/>
          </w:tcPr>
          <w:p w:rsidR="006A1EE2" w:rsidRPr="00702466" w:rsidRDefault="006A1EE2" w:rsidP="006A1EE2">
            <w:pPr>
              <w:autoSpaceDE w:val="0"/>
              <w:autoSpaceDN w:val="0"/>
              <w:adjustRightInd w:val="0"/>
              <w:rPr>
                <w:rFonts w:ascii="Calibri" w:hAnsi="Calibri" w:cs="Calibri"/>
                <w:color w:val="000000"/>
                <w:sz w:val="20"/>
                <w:szCs w:val="20"/>
              </w:rPr>
            </w:pPr>
            <w:r w:rsidRPr="00702466">
              <w:rPr>
                <w:rFonts w:ascii="Calibri" w:hAnsi="Calibri" w:cs="Calibri"/>
                <w:color w:val="000000"/>
                <w:sz w:val="20"/>
                <w:szCs w:val="20"/>
              </w:rPr>
              <w:t>Give short answers for the following questions: (20)</w:t>
            </w:r>
          </w:p>
          <w:p w:rsidR="006A1EE2" w:rsidRPr="00702466" w:rsidRDefault="006A1EE2" w:rsidP="006A1EE2">
            <w:pPr>
              <w:pStyle w:val="Paragrafoelenco"/>
              <w:numPr>
                <w:ilvl w:val="0"/>
                <w:numId w:val="15"/>
              </w:numPr>
              <w:autoSpaceDE w:val="0"/>
              <w:autoSpaceDN w:val="0"/>
              <w:adjustRightInd w:val="0"/>
              <w:rPr>
                <w:rFonts w:cs="Calibri"/>
                <w:color w:val="000000"/>
                <w:sz w:val="20"/>
                <w:szCs w:val="20"/>
              </w:rPr>
            </w:pPr>
            <w:r w:rsidRPr="00702466">
              <w:rPr>
                <w:rFonts w:cs="Calibri"/>
                <w:color w:val="FF0000"/>
                <w:sz w:val="20"/>
                <w:szCs w:val="20"/>
              </w:rPr>
              <w:t>What are non - financial sources for evidence?</w:t>
            </w:r>
          </w:p>
          <w:p w:rsidR="006A1EE2" w:rsidRPr="00702466" w:rsidRDefault="006A1EE2" w:rsidP="006A1EE2">
            <w:pPr>
              <w:autoSpaceDE w:val="0"/>
              <w:autoSpaceDN w:val="0"/>
              <w:adjustRightInd w:val="0"/>
              <w:rPr>
                <w:rFonts w:ascii="Calibri" w:hAnsi="Calibri" w:cs="Calibri"/>
                <w:color w:val="000000"/>
                <w:sz w:val="20"/>
                <w:szCs w:val="20"/>
              </w:rPr>
            </w:pPr>
            <w:r w:rsidRPr="00702466">
              <w:rPr>
                <w:rFonts w:ascii="Calibri" w:hAnsi="Calibri" w:cs="Calibri"/>
                <w:sz w:val="20"/>
                <w:szCs w:val="20"/>
              </w:rPr>
              <w:t>Non-financial sources of evidence range from interviews, handwriting analysis and document</w:t>
            </w:r>
            <w:r w:rsidRPr="00702466">
              <w:rPr>
                <w:rFonts w:ascii="Calibri" w:hAnsi="Calibri" w:cs="Calibri"/>
                <w:sz w:val="20"/>
                <w:szCs w:val="20"/>
              </w:rPr>
              <w:t xml:space="preserve"> </w:t>
            </w:r>
            <w:r w:rsidRPr="00702466">
              <w:rPr>
                <w:rFonts w:ascii="Calibri" w:hAnsi="Calibri" w:cs="Calibri"/>
                <w:sz w:val="20"/>
                <w:szCs w:val="20"/>
              </w:rPr>
              <w:t>examination to the physiological traits of the fraudster. Physiological traits refer to the fraudster’s</w:t>
            </w:r>
            <w:r w:rsidRPr="00702466">
              <w:rPr>
                <w:rFonts w:ascii="Calibri" w:hAnsi="Calibri" w:cs="Calibri"/>
                <w:sz w:val="20"/>
                <w:szCs w:val="20"/>
              </w:rPr>
              <w:t xml:space="preserve"> behavior</w:t>
            </w:r>
            <w:r w:rsidRPr="00702466">
              <w:rPr>
                <w:rFonts w:ascii="Calibri" w:hAnsi="Calibri" w:cs="Calibri"/>
                <w:sz w:val="20"/>
                <w:szCs w:val="20"/>
              </w:rPr>
              <w:t>, expressions, or any communication that indicates the fraudster’s involvement in the crime.</w:t>
            </w:r>
          </w:p>
          <w:p w:rsidR="006A1EE2" w:rsidRPr="00702466" w:rsidRDefault="006A1EE2" w:rsidP="006A1EE2">
            <w:pPr>
              <w:pStyle w:val="Paragrafoelenco"/>
              <w:numPr>
                <w:ilvl w:val="0"/>
                <w:numId w:val="15"/>
              </w:numPr>
              <w:autoSpaceDE w:val="0"/>
              <w:autoSpaceDN w:val="0"/>
              <w:adjustRightInd w:val="0"/>
              <w:rPr>
                <w:rFonts w:cs="Calibri"/>
                <w:color w:val="FF0000"/>
                <w:sz w:val="20"/>
                <w:szCs w:val="20"/>
              </w:rPr>
            </w:pPr>
            <w:r w:rsidRPr="00702466">
              <w:rPr>
                <w:rFonts w:cs="Calibri"/>
                <w:color w:val="FF0000"/>
                <w:sz w:val="20"/>
                <w:szCs w:val="20"/>
              </w:rPr>
              <w:t>What is the importance of body language in the interviewing procedure?</w:t>
            </w:r>
          </w:p>
          <w:p w:rsidR="006A1EE2" w:rsidRPr="00702466" w:rsidRDefault="006A1EE2" w:rsidP="006A1EE2">
            <w:pPr>
              <w:rPr>
                <w:rFonts w:cs="Calibri"/>
                <w:sz w:val="20"/>
                <w:szCs w:val="20"/>
              </w:rPr>
            </w:pPr>
            <w:r w:rsidRPr="00702466">
              <w:rPr>
                <w:rFonts w:cs="Calibri"/>
                <w:sz w:val="20"/>
                <w:szCs w:val="20"/>
              </w:rPr>
              <w:t>Humans reveal much more through their body language than through their words, especially when they</w:t>
            </w:r>
          </w:p>
          <w:p w:rsidR="006A1EE2" w:rsidRPr="00702466" w:rsidRDefault="006A1EE2" w:rsidP="006A1EE2">
            <w:pPr>
              <w:rPr>
                <w:rFonts w:cs="Calibri"/>
                <w:sz w:val="20"/>
                <w:szCs w:val="20"/>
              </w:rPr>
            </w:pPr>
            <w:r w:rsidRPr="00702466">
              <w:rPr>
                <w:rFonts w:cs="Calibri"/>
                <w:sz w:val="20"/>
                <w:szCs w:val="20"/>
              </w:rPr>
              <w:t>are under stress; therefore, an interviewer should always observe gestures and non-verbal behaviour. A</w:t>
            </w:r>
          </w:p>
          <w:p w:rsidR="006A1EE2" w:rsidRPr="00702466" w:rsidRDefault="006A1EE2" w:rsidP="006A1EE2">
            <w:pPr>
              <w:rPr>
                <w:rFonts w:cs="Calibri"/>
                <w:sz w:val="20"/>
                <w:szCs w:val="20"/>
              </w:rPr>
            </w:pPr>
            <w:r w:rsidRPr="00702466">
              <w:rPr>
                <w:rFonts w:cs="Calibri"/>
                <w:sz w:val="20"/>
                <w:szCs w:val="20"/>
              </w:rPr>
              <w:t>well trained and experienced fraud investigator will watch out for signs of stress through a process called</w:t>
            </w:r>
          </w:p>
          <w:p w:rsidR="006A1EE2" w:rsidRPr="00702466" w:rsidRDefault="006A1EE2" w:rsidP="006A1EE2">
            <w:pPr>
              <w:rPr>
                <w:rFonts w:cs="Calibri"/>
                <w:sz w:val="20"/>
                <w:szCs w:val="20"/>
              </w:rPr>
            </w:pPr>
            <w:r w:rsidRPr="00702466">
              <w:rPr>
                <w:rFonts w:cs="Calibri"/>
                <w:sz w:val="20"/>
                <w:szCs w:val="20"/>
              </w:rPr>
              <w:t>calibration. This process gauges a witness’s candour.</w:t>
            </w:r>
          </w:p>
          <w:p w:rsidR="006A1EE2" w:rsidRPr="00702466" w:rsidRDefault="006A1EE2" w:rsidP="006A1EE2">
            <w:pPr>
              <w:pStyle w:val="Paragrafoelenco"/>
              <w:autoSpaceDE w:val="0"/>
              <w:autoSpaceDN w:val="0"/>
              <w:adjustRightInd w:val="0"/>
              <w:ind w:left="1080"/>
              <w:rPr>
                <w:rFonts w:cs="Calibri"/>
                <w:color w:val="000000"/>
                <w:sz w:val="20"/>
                <w:szCs w:val="20"/>
              </w:rPr>
            </w:pPr>
          </w:p>
          <w:p w:rsidR="006A1EE2" w:rsidRPr="00702466" w:rsidRDefault="006A1EE2" w:rsidP="006A1EE2">
            <w:pPr>
              <w:pStyle w:val="Paragrafoelenco"/>
              <w:numPr>
                <w:ilvl w:val="0"/>
                <w:numId w:val="15"/>
              </w:numPr>
              <w:autoSpaceDE w:val="0"/>
              <w:autoSpaceDN w:val="0"/>
              <w:adjustRightInd w:val="0"/>
              <w:rPr>
                <w:rFonts w:cs="Calibri"/>
                <w:color w:val="000000"/>
                <w:sz w:val="20"/>
                <w:szCs w:val="20"/>
              </w:rPr>
            </w:pPr>
            <w:r w:rsidRPr="00702466">
              <w:rPr>
                <w:rFonts w:cs="Calibri"/>
                <w:color w:val="FF0000"/>
                <w:sz w:val="20"/>
                <w:szCs w:val="20"/>
              </w:rPr>
              <w:t>How is the SCAN Analysis used as an investigative technique</w:t>
            </w:r>
            <w:r w:rsidRPr="00702466">
              <w:rPr>
                <w:rFonts w:cs="Calibri"/>
                <w:color w:val="000000"/>
                <w:sz w:val="20"/>
                <w:szCs w:val="20"/>
              </w:rPr>
              <w:t>?</w:t>
            </w:r>
          </w:p>
          <w:p w:rsidR="006A1EE2" w:rsidRPr="00702466" w:rsidRDefault="00B21629" w:rsidP="002B5327">
            <w:pPr>
              <w:autoSpaceDE w:val="0"/>
              <w:autoSpaceDN w:val="0"/>
              <w:adjustRightInd w:val="0"/>
              <w:rPr>
                <w:rFonts w:cs="Calibri"/>
                <w:sz w:val="20"/>
                <w:szCs w:val="20"/>
              </w:rPr>
            </w:pPr>
            <w:r w:rsidRPr="00702466">
              <w:rPr>
                <w:rFonts w:cs="Calibri"/>
                <w:sz w:val="20"/>
                <w:szCs w:val="20"/>
              </w:rPr>
              <w:t>Scientific Content Analysis (SCAN) is similar to statement analysis. SCAN, like statement analysis, is aimed</w:t>
            </w:r>
            <w:r w:rsidRPr="00702466">
              <w:rPr>
                <w:rFonts w:cs="Calibri"/>
                <w:sz w:val="20"/>
                <w:szCs w:val="20"/>
              </w:rPr>
              <w:t xml:space="preserve"> </w:t>
            </w:r>
            <w:r w:rsidRPr="00702466">
              <w:rPr>
                <w:rFonts w:cs="Calibri"/>
                <w:sz w:val="20"/>
                <w:szCs w:val="20"/>
              </w:rPr>
              <w:t>at detecting deception rather than determining truthfulness.</w:t>
            </w:r>
            <w:r w:rsidRPr="00702466">
              <w:rPr>
                <w:rFonts w:cs="Calibri"/>
                <w:sz w:val="20"/>
                <w:szCs w:val="20"/>
              </w:rPr>
              <w:t xml:space="preserve"> </w:t>
            </w:r>
            <w:r w:rsidRPr="00702466">
              <w:rPr>
                <w:rFonts w:cs="Calibri"/>
                <w:sz w:val="20"/>
                <w:szCs w:val="20"/>
              </w:rPr>
              <w:t>The analyst needs an unambiguous, truthful statement from the suspect in order</w:t>
            </w:r>
            <w:r w:rsidRPr="00702466">
              <w:rPr>
                <w:rFonts w:cs="Calibri"/>
                <w:sz w:val="20"/>
                <w:szCs w:val="20"/>
              </w:rPr>
              <w:t xml:space="preserve"> </w:t>
            </w:r>
            <w:r w:rsidRPr="00702466">
              <w:rPr>
                <w:rFonts w:cs="Calibri"/>
                <w:sz w:val="20"/>
                <w:szCs w:val="20"/>
              </w:rPr>
              <w:t>for SCAN to be effective. Like statement analysis, SCAN looks for a shift in pronouns and gaps in the</w:t>
            </w:r>
            <w:r w:rsidRPr="00702466">
              <w:rPr>
                <w:rFonts w:cs="Calibri"/>
                <w:sz w:val="20"/>
                <w:szCs w:val="20"/>
              </w:rPr>
              <w:t xml:space="preserve"> </w:t>
            </w:r>
            <w:r w:rsidRPr="00702466">
              <w:rPr>
                <w:rFonts w:cs="Calibri"/>
                <w:sz w:val="20"/>
                <w:szCs w:val="20"/>
              </w:rPr>
              <w:t>narrative, which indicate deception.</w:t>
            </w:r>
            <w:r w:rsidR="002B5327" w:rsidRPr="00702466">
              <w:rPr>
                <w:rFonts w:cs="Calibri"/>
                <w:sz w:val="20"/>
                <w:szCs w:val="20"/>
              </w:rPr>
              <w:t xml:space="preserve"> Scan is  an </w:t>
            </w:r>
            <w:r w:rsidR="002B5327" w:rsidRPr="00702466">
              <w:rPr>
                <w:rFonts w:cs="Calibri"/>
                <w:sz w:val="20"/>
                <w:szCs w:val="20"/>
              </w:rPr>
              <w:t xml:space="preserve">investigative tools and </w:t>
            </w:r>
            <w:r w:rsidR="002B5327" w:rsidRPr="00702466">
              <w:rPr>
                <w:rFonts w:cs="Calibri"/>
                <w:sz w:val="20"/>
                <w:szCs w:val="20"/>
              </w:rPr>
              <w:t xml:space="preserve">is </w:t>
            </w:r>
            <w:r w:rsidR="002B5327" w:rsidRPr="00702466">
              <w:rPr>
                <w:rFonts w:cs="Calibri"/>
                <w:sz w:val="20"/>
                <w:szCs w:val="20"/>
              </w:rPr>
              <w:t>not</w:t>
            </w:r>
            <w:r w:rsidR="002B5327" w:rsidRPr="00702466">
              <w:rPr>
                <w:rFonts w:cs="Calibri"/>
                <w:sz w:val="20"/>
                <w:szCs w:val="20"/>
              </w:rPr>
              <w:t xml:space="preserve"> </w:t>
            </w:r>
            <w:r w:rsidR="002B5327" w:rsidRPr="00702466">
              <w:rPr>
                <w:rFonts w:cs="Calibri"/>
                <w:sz w:val="20"/>
                <w:szCs w:val="20"/>
              </w:rPr>
              <w:t>legally admissible evidence.</w:t>
            </w:r>
          </w:p>
          <w:p w:rsidR="002B5327" w:rsidRPr="00702466" w:rsidRDefault="002B5327" w:rsidP="002B5327">
            <w:pPr>
              <w:autoSpaceDE w:val="0"/>
              <w:autoSpaceDN w:val="0"/>
              <w:adjustRightInd w:val="0"/>
              <w:ind w:left="360"/>
              <w:rPr>
                <w:rFonts w:cs="Calibri"/>
                <w:sz w:val="20"/>
                <w:szCs w:val="20"/>
              </w:rPr>
            </w:pPr>
          </w:p>
          <w:p w:rsidR="006A1EE2" w:rsidRPr="00702466" w:rsidRDefault="006A1EE2" w:rsidP="006A1EE2">
            <w:pPr>
              <w:pStyle w:val="Paragrafoelenco"/>
              <w:numPr>
                <w:ilvl w:val="0"/>
                <w:numId w:val="15"/>
              </w:numPr>
              <w:autoSpaceDE w:val="0"/>
              <w:autoSpaceDN w:val="0"/>
              <w:adjustRightInd w:val="0"/>
              <w:rPr>
                <w:rFonts w:cs="Calibri"/>
                <w:color w:val="FF0000"/>
                <w:sz w:val="20"/>
                <w:szCs w:val="20"/>
              </w:rPr>
            </w:pPr>
            <w:r w:rsidRPr="00702466">
              <w:rPr>
                <w:rFonts w:cs="Calibri"/>
                <w:color w:val="FF0000"/>
                <w:sz w:val="20"/>
                <w:szCs w:val="20"/>
              </w:rPr>
              <w:t>What are visual assessing cues? How do eyes of the victim help the interviewer?</w:t>
            </w:r>
          </w:p>
          <w:p w:rsidR="002B5327" w:rsidRPr="00702466" w:rsidRDefault="002B5327" w:rsidP="002B5327">
            <w:pPr>
              <w:autoSpaceDE w:val="0"/>
              <w:autoSpaceDN w:val="0"/>
              <w:adjustRightInd w:val="0"/>
              <w:rPr>
                <w:rFonts w:ascii="Calibri" w:hAnsi="Calibri" w:cs="Calibri"/>
                <w:sz w:val="20"/>
                <w:szCs w:val="20"/>
              </w:rPr>
            </w:pPr>
            <w:r w:rsidRPr="00702466">
              <w:rPr>
                <w:rFonts w:ascii="Calibri" w:hAnsi="Calibri" w:cs="Calibri"/>
                <w:sz w:val="20"/>
                <w:szCs w:val="20"/>
              </w:rPr>
              <w:t>R</w:t>
            </w:r>
            <w:r w:rsidRPr="00702466">
              <w:rPr>
                <w:rFonts w:ascii="Calibri" w:hAnsi="Calibri" w:cs="Calibri"/>
                <w:sz w:val="20"/>
                <w:szCs w:val="20"/>
              </w:rPr>
              <w:t>efers to the language of the eyes and</w:t>
            </w:r>
            <w:r w:rsidRPr="00702466">
              <w:rPr>
                <w:rFonts w:ascii="Calibri" w:hAnsi="Calibri" w:cs="Calibri"/>
                <w:sz w:val="20"/>
                <w:szCs w:val="20"/>
              </w:rPr>
              <w:t xml:space="preserve"> </w:t>
            </w:r>
            <w:r w:rsidRPr="00702466">
              <w:rPr>
                <w:rFonts w:ascii="Calibri" w:hAnsi="Calibri" w:cs="Calibri"/>
                <w:sz w:val="20"/>
                <w:szCs w:val="20"/>
              </w:rPr>
              <w:t>the principles related to it. Eye movement cues and interpretations are only applicable to right-handed</w:t>
            </w:r>
            <w:r w:rsidRPr="00702466">
              <w:rPr>
                <w:rFonts w:ascii="Calibri" w:hAnsi="Calibri" w:cs="Calibri"/>
                <w:sz w:val="20"/>
                <w:szCs w:val="20"/>
              </w:rPr>
              <w:t xml:space="preserve"> </w:t>
            </w:r>
            <w:r w:rsidRPr="00702466">
              <w:rPr>
                <w:rFonts w:ascii="Calibri" w:hAnsi="Calibri" w:cs="Calibri"/>
                <w:sz w:val="20"/>
                <w:szCs w:val="20"/>
              </w:rPr>
              <w:t>people</w:t>
            </w:r>
            <w:r w:rsidRPr="00702466">
              <w:rPr>
                <w:rFonts w:ascii="Calibri" w:hAnsi="Calibri" w:cs="Calibri"/>
                <w:sz w:val="20"/>
                <w:szCs w:val="20"/>
              </w:rPr>
              <w:t xml:space="preserve">. </w:t>
            </w:r>
            <w:r w:rsidRPr="00702466">
              <w:rPr>
                <w:rFonts w:ascii="Calibri" w:hAnsi="Calibri" w:cs="Calibri"/>
                <w:sz w:val="20"/>
                <w:szCs w:val="20"/>
              </w:rPr>
              <w:t>When interviewees are asked a question that requires them to recall something, their eye movements</w:t>
            </w:r>
          </w:p>
          <w:p w:rsidR="006A1EE2" w:rsidRPr="00702466" w:rsidRDefault="002B5327" w:rsidP="002B5327">
            <w:pPr>
              <w:autoSpaceDE w:val="0"/>
              <w:autoSpaceDN w:val="0"/>
              <w:adjustRightInd w:val="0"/>
              <w:rPr>
                <w:rFonts w:ascii="Calibri" w:hAnsi="Calibri" w:cs="Calibri"/>
                <w:sz w:val="20"/>
                <w:szCs w:val="20"/>
              </w:rPr>
            </w:pPr>
            <w:r w:rsidRPr="00702466">
              <w:rPr>
                <w:rFonts w:ascii="Calibri" w:hAnsi="Calibri" w:cs="Calibri"/>
                <w:sz w:val="20"/>
                <w:szCs w:val="20"/>
              </w:rPr>
              <w:t>betray whether the thought process is truthful or deceptive</w:t>
            </w:r>
            <w:r w:rsidRPr="00702466">
              <w:rPr>
                <w:rFonts w:ascii="Calibri" w:hAnsi="Calibri" w:cs="Calibri"/>
                <w:sz w:val="20"/>
                <w:szCs w:val="20"/>
              </w:rPr>
              <w:t>.</w:t>
            </w:r>
          </w:p>
          <w:p w:rsidR="002B5327" w:rsidRPr="00702466" w:rsidRDefault="002B5327" w:rsidP="002B5327">
            <w:pPr>
              <w:autoSpaceDE w:val="0"/>
              <w:autoSpaceDN w:val="0"/>
              <w:adjustRightInd w:val="0"/>
              <w:rPr>
                <w:rFonts w:ascii="Calibri" w:hAnsi="Calibri" w:cs="Calibri"/>
                <w:sz w:val="20"/>
                <w:szCs w:val="20"/>
              </w:rPr>
            </w:pPr>
            <w:r w:rsidRPr="00702466">
              <w:rPr>
                <w:rFonts w:ascii="Calibri" w:hAnsi="Calibri" w:cs="Calibri"/>
                <w:sz w:val="20"/>
                <w:szCs w:val="20"/>
              </w:rPr>
              <w:t>following combinations may be helpful in interpretation:</w:t>
            </w:r>
          </w:p>
          <w:p w:rsidR="002B5327" w:rsidRPr="00702466" w:rsidRDefault="002B5327" w:rsidP="008B445D">
            <w:pPr>
              <w:pStyle w:val="Paragrafoelenco"/>
              <w:numPr>
                <w:ilvl w:val="0"/>
                <w:numId w:val="16"/>
              </w:numPr>
              <w:autoSpaceDE w:val="0"/>
              <w:autoSpaceDN w:val="0"/>
              <w:adjustRightInd w:val="0"/>
              <w:rPr>
                <w:rFonts w:cs="Calibri"/>
                <w:sz w:val="20"/>
                <w:szCs w:val="20"/>
              </w:rPr>
            </w:pPr>
            <w:r w:rsidRPr="00702466">
              <w:rPr>
                <w:rFonts w:cs="Calibri"/>
                <w:sz w:val="20"/>
                <w:szCs w:val="20"/>
              </w:rPr>
              <w:t>Eyes to the left and up. Recalling the past in visual images</w:t>
            </w:r>
          </w:p>
          <w:p w:rsidR="002B5327" w:rsidRPr="00702466" w:rsidRDefault="002B5327" w:rsidP="002B5327">
            <w:pPr>
              <w:pStyle w:val="Paragrafoelenco"/>
              <w:numPr>
                <w:ilvl w:val="0"/>
                <w:numId w:val="16"/>
              </w:numPr>
              <w:autoSpaceDE w:val="0"/>
              <w:autoSpaceDN w:val="0"/>
              <w:adjustRightInd w:val="0"/>
              <w:rPr>
                <w:rFonts w:cs="Calibri"/>
                <w:sz w:val="20"/>
                <w:szCs w:val="20"/>
              </w:rPr>
            </w:pPr>
            <w:r w:rsidRPr="00702466">
              <w:rPr>
                <w:rFonts w:cs="Calibri"/>
                <w:sz w:val="20"/>
                <w:szCs w:val="20"/>
              </w:rPr>
              <w:t>Eyes to the left toward the ear. Retrieving memories in auditory form or recalling sounds.</w:t>
            </w:r>
          </w:p>
          <w:p w:rsidR="002B5327" w:rsidRPr="00702466" w:rsidRDefault="002B5327" w:rsidP="002B5327">
            <w:pPr>
              <w:pStyle w:val="Paragrafoelenco"/>
              <w:numPr>
                <w:ilvl w:val="0"/>
                <w:numId w:val="16"/>
              </w:numPr>
              <w:autoSpaceDE w:val="0"/>
              <w:autoSpaceDN w:val="0"/>
              <w:adjustRightInd w:val="0"/>
              <w:rPr>
                <w:rFonts w:cs="Calibri"/>
                <w:sz w:val="20"/>
                <w:szCs w:val="20"/>
              </w:rPr>
            </w:pPr>
            <w:r w:rsidRPr="00702466">
              <w:rPr>
                <w:rFonts w:cs="Calibri"/>
                <w:sz w:val="20"/>
                <w:szCs w:val="20"/>
              </w:rPr>
              <w:t>Eyes to the left and down. Generally associated with an internal dialogue, as it is a movement</w:t>
            </w:r>
            <w:r w:rsidRPr="00702466">
              <w:rPr>
                <w:rFonts w:cs="Calibri"/>
                <w:sz w:val="20"/>
                <w:szCs w:val="20"/>
              </w:rPr>
              <w:t xml:space="preserve"> </w:t>
            </w:r>
            <w:r w:rsidRPr="00702466">
              <w:rPr>
                <w:rFonts w:cs="Calibri"/>
                <w:sz w:val="20"/>
                <w:szCs w:val="20"/>
              </w:rPr>
              <w:t>made by people when they are talking to themselves.</w:t>
            </w:r>
          </w:p>
          <w:p w:rsidR="002B5327" w:rsidRPr="00702466" w:rsidRDefault="002B5327" w:rsidP="002B5327">
            <w:pPr>
              <w:pStyle w:val="Paragrafoelenco"/>
              <w:numPr>
                <w:ilvl w:val="0"/>
                <w:numId w:val="16"/>
              </w:numPr>
              <w:autoSpaceDE w:val="0"/>
              <w:autoSpaceDN w:val="0"/>
              <w:adjustRightInd w:val="0"/>
              <w:rPr>
                <w:rFonts w:cs="Calibri"/>
                <w:sz w:val="20"/>
                <w:szCs w:val="20"/>
              </w:rPr>
            </w:pPr>
            <w:r w:rsidRPr="00702466">
              <w:rPr>
                <w:rFonts w:cs="Calibri"/>
                <w:sz w:val="20"/>
                <w:szCs w:val="20"/>
              </w:rPr>
              <w:t>Eyes to the right and up. Constructing images for the future</w:t>
            </w:r>
          </w:p>
          <w:p w:rsidR="002B5327" w:rsidRPr="00702466" w:rsidRDefault="002B5327" w:rsidP="00954CBA">
            <w:pPr>
              <w:pStyle w:val="Paragrafoelenco"/>
              <w:numPr>
                <w:ilvl w:val="0"/>
                <w:numId w:val="16"/>
              </w:numPr>
              <w:autoSpaceDE w:val="0"/>
              <w:autoSpaceDN w:val="0"/>
              <w:adjustRightInd w:val="0"/>
              <w:rPr>
                <w:rFonts w:cs="Calibri"/>
                <w:sz w:val="20"/>
                <w:szCs w:val="20"/>
              </w:rPr>
            </w:pPr>
            <w:r w:rsidRPr="00702466">
              <w:rPr>
                <w:rFonts w:cs="Calibri"/>
                <w:sz w:val="20"/>
                <w:szCs w:val="20"/>
              </w:rPr>
              <w:t>Eyes to the right toward the ear. Associated with creating sounds</w:t>
            </w:r>
          </w:p>
          <w:p w:rsidR="006A1EE2" w:rsidRPr="00702466" w:rsidRDefault="002B5327" w:rsidP="002B5327">
            <w:pPr>
              <w:pStyle w:val="Paragrafoelenco"/>
              <w:numPr>
                <w:ilvl w:val="0"/>
                <w:numId w:val="16"/>
              </w:numPr>
              <w:autoSpaceDE w:val="0"/>
              <w:autoSpaceDN w:val="0"/>
              <w:adjustRightInd w:val="0"/>
              <w:rPr>
                <w:rFonts w:cs="Calibri"/>
                <w:color w:val="000000"/>
                <w:sz w:val="20"/>
                <w:szCs w:val="20"/>
              </w:rPr>
            </w:pPr>
            <w:r w:rsidRPr="00702466">
              <w:rPr>
                <w:rFonts w:cs="Calibri"/>
                <w:sz w:val="20"/>
                <w:szCs w:val="20"/>
              </w:rPr>
              <w:t>Eyes to the righ</w:t>
            </w:r>
            <w:r w:rsidRPr="00702466">
              <w:rPr>
                <w:rFonts w:cs="Calibri"/>
                <w:sz w:val="20"/>
                <w:szCs w:val="20"/>
              </w:rPr>
              <w:t>t and down. Associated with kin</w:t>
            </w:r>
            <w:r w:rsidRPr="00702466">
              <w:rPr>
                <w:rFonts w:cs="Calibri"/>
                <w:sz w:val="20"/>
                <w:szCs w:val="20"/>
              </w:rPr>
              <w:t>esthetic or feelings</w:t>
            </w:r>
            <w:r w:rsidRPr="00702466">
              <w:rPr>
                <w:rFonts w:cs="Calibri"/>
                <w:sz w:val="20"/>
                <w:szCs w:val="20"/>
              </w:rPr>
              <w:t>.</w:t>
            </w:r>
          </w:p>
          <w:p w:rsidR="002B5327" w:rsidRPr="00702466" w:rsidRDefault="002B5327" w:rsidP="002B5327">
            <w:pPr>
              <w:autoSpaceDE w:val="0"/>
              <w:autoSpaceDN w:val="0"/>
              <w:adjustRightInd w:val="0"/>
              <w:rPr>
                <w:rFonts w:cs="Calibri"/>
                <w:color w:val="000000"/>
                <w:sz w:val="20"/>
                <w:szCs w:val="20"/>
              </w:rPr>
            </w:pPr>
            <w:r w:rsidRPr="00702466">
              <w:rPr>
                <w:rFonts w:cs="Calibri"/>
                <w:color w:val="000000"/>
                <w:sz w:val="20"/>
                <w:szCs w:val="20"/>
              </w:rPr>
              <w:t xml:space="preserve">Blinking is also a part of eye language principles. </w:t>
            </w:r>
            <w:r w:rsidRPr="00702466">
              <w:rPr>
                <w:rFonts w:cs="Calibri"/>
                <w:color w:val="000000"/>
                <w:sz w:val="20"/>
                <w:szCs w:val="20"/>
              </w:rPr>
              <w:t>When a person is under stress, he/she tends to blink</w:t>
            </w:r>
          </w:p>
          <w:p w:rsidR="002B5327" w:rsidRPr="00702466" w:rsidRDefault="002B5327" w:rsidP="002B5327">
            <w:pPr>
              <w:autoSpaceDE w:val="0"/>
              <w:autoSpaceDN w:val="0"/>
              <w:adjustRightInd w:val="0"/>
              <w:rPr>
                <w:rFonts w:cs="Calibri"/>
                <w:color w:val="000000"/>
                <w:sz w:val="20"/>
                <w:szCs w:val="20"/>
              </w:rPr>
            </w:pPr>
            <w:r w:rsidRPr="00702466">
              <w:rPr>
                <w:rFonts w:cs="Calibri"/>
                <w:color w:val="000000"/>
                <w:sz w:val="20"/>
                <w:szCs w:val="20"/>
              </w:rPr>
              <w:t>faster and more frequently</w:t>
            </w:r>
          </w:p>
          <w:p w:rsidR="002B5327" w:rsidRPr="00702466" w:rsidRDefault="002B5327" w:rsidP="002B5327">
            <w:pPr>
              <w:autoSpaceDE w:val="0"/>
              <w:autoSpaceDN w:val="0"/>
              <w:adjustRightInd w:val="0"/>
              <w:rPr>
                <w:rFonts w:cs="Calibri"/>
                <w:color w:val="000000"/>
                <w:sz w:val="20"/>
                <w:szCs w:val="20"/>
              </w:rPr>
            </w:pPr>
          </w:p>
          <w:p w:rsidR="006A1EE2" w:rsidRPr="00702466" w:rsidRDefault="006A1EE2" w:rsidP="006A1EE2">
            <w:pPr>
              <w:pStyle w:val="Paragrafoelenco"/>
              <w:numPr>
                <w:ilvl w:val="0"/>
                <w:numId w:val="15"/>
              </w:numPr>
              <w:autoSpaceDE w:val="0"/>
              <w:autoSpaceDN w:val="0"/>
              <w:adjustRightInd w:val="0"/>
              <w:rPr>
                <w:rFonts w:cs="Calibri"/>
                <w:color w:val="FF0000"/>
                <w:sz w:val="20"/>
                <w:szCs w:val="20"/>
              </w:rPr>
            </w:pPr>
            <w:r w:rsidRPr="00702466">
              <w:rPr>
                <w:rFonts w:cs="Calibri"/>
                <w:color w:val="FF0000"/>
                <w:sz w:val="20"/>
                <w:szCs w:val="20"/>
              </w:rPr>
              <w:t>In addition to body language, there are other cues which help to identify lies.’</w:t>
            </w:r>
          </w:p>
          <w:p w:rsidR="006A1EE2" w:rsidRPr="00702466" w:rsidRDefault="006A1EE2" w:rsidP="006A1EE2">
            <w:pPr>
              <w:autoSpaceDE w:val="0"/>
              <w:autoSpaceDN w:val="0"/>
              <w:adjustRightInd w:val="0"/>
              <w:rPr>
                <w:rFonts w:ascii="Calibri" w:hAnsi="Calibri" w:cs="Calibri"/>
                <w:color w:val="FF0000"/>
                <w:sz w:val="20"/>
                <w:szCs w:val="20"/>
              </w:rPr>
            </w:pPr>
            <w:r w:rsidRPr="00702466">
              <w:rPr>
                <w:rFonts w:ascii="Calibri" w:hAnsi="Calibri" w:cs="Calibri"/>
                <w:color w:val="FF0000"/>
                <w:sz w:val="20"/>
                <w:szCs w:val="20"/>
              </w:rPr>
              <w:t>What are these?</w:t>
            </w:r>
          </w:p>
          <w:p w:rsidR="00702466" w:rsidRPr="00702466" w:rsidRDefault="00702466" w:rsidP="00702466">
            <w:pPr>
              <w:autoSpaceDE w:val="0"/>
              <w:autoSpaceDN w:val="0"/>
              <w:adjustRightInd w:val="0"/>
              <w:rPr>
                <w:rFonts w:ascii="Calibri" w:hAnsi="Calibri" w:cs="Calibri"/>
                <w:sz w:val="20"/>
                <w:szCs w:val="20"/>
              </w:rPr>
            </w:pPr>
            <w:r w:rsidRPr="00702466">
              <w:rPr>
                <w:rFonts w:ascii="Calibri" w:hAnsi="Calibri" w:cs="Calibri"/>
                <w:sz w:val="20"/>
                <w:szCs w:val="20"/>
              </w:rPr>
              <w:t>Interpersonal interactions. For example, a person may shake his head and say “yes” after making</w:t>
            </w:r>
            <w:r w:rsidRPr="00702466">
              <w:rPr>
                <w:rFonts w:ascii="Calibri" w:hAnsi="Calibri" w:cs="Calibri"/>
                <w:sz w:val="20"/>
                <w:szCs w:val="20"/>
              </w:rPr>
              <w:t xml:space="preserve"> </w:t>
            </w:r>
            <w:r w:rsidRPr="00702466">
              <w:rPr>
                <w:rFonts w:ascii="Calibri" w:hAnsi="Calibri" w:cs="Calibri"/>
                <w:sz w:val="20"/>
                <w:szCs w:val="20"/>
              </w:rPr>
              <w:t>a point; these are inconsistent gestures.</w:t>
            </w:r>
          </w:p>
          <w:p w:rsidR="00702466" w:rsidRPr="00702466" w:rsidRDefault="00702466" w:rsidP="00702466">
            <w:pPr>
              <w:autoSpaceDE w:val="0"/>
              <w:autoSpaceDN w:val="0"/>
              <w:adjustRightInd w:val="0"/>
              <w:rPr>
                <w:rFonts w:ascii="Calibri" w:hAnsi="Calibri" w:cs="Calibri"/>
                <w:sz w:val="20"/>
                <w:szCs w:val="20"/>
              </w:rPr>
            </w:pPr>
            <w:r w:rsidRPr="00702466">
              <w:rPr>
                <w:rFonts w:ascii="Symbol" w:hAnsi="Symbol" w:cs="Symbol"/>
                <w:sz w:val="20"/>
                <w:szCs w:val="20"/>
              </w:rPr>
              <w:t></w:t>
            </w:r>
            <w:r w:rsidRPr="00702466">
              <w:rPr>
                <w:rFonts w:ascii="Symbol" w:hAnsi="Symbol" w:cs="Symbol"/>
                <w:sz w:val="20"/>
                <w:szCs w:val="20"/>
              </w:rPr>
              <w:t></w:t>
            </w:r>
            <w:r w:rsidRPr="00702466">
              <w:rPr>
                <w:rFonts w:ascii="Calibri" w:hAnsi="Calibri" w:cs="Calibri"/>
                <w:sz w:val="20"/>
                <w:szCs w:val="20"/>
              </w:rPr>
              <w:t>Emotional states. A deceitful person will usually avoid touching the person investigating or</w:t>
            </w:r>
          </w:p>
          <w:p w:rsidR="00702466" w:rsidRPr="00702466" w:rsidRDefault="00702466" w:rsidP="00702466">
            <w:pPr>
              <w:autoSpaceDE w:val="0"/>
              <w:autoSpaceDN w:val="0"/>
              <w:adjustRightInd w:val="0"/>
              <w:rPr>
                <w:rFonts w:ascii="Calibri" w:hAnsi="Calibri" w:cs="Calibri"/>
                <w:sz w:val="20"/>
                <w:szCs w:val="20"/>
              </w:rPr>
            </w:pPr>
            <w:r w:rsidRPr="00702466">
              <w:rPr>
                <w:rFonts w:ascii="Calibri" w:hAnsi="Calibri" w:cs="Calibri"/>
                <w:sz w:val="20"/>
                <w:szCs w:val="20"/>
              </w:rPr>
              <w:t>questioning him/her.</w:t>
            </w:r>
          </w:p>
          <w:p w:rsidR="00702466" w:rsidRPr="00702466" w:rsidRDefault="00702466" w:rsidP="00702466">
            <w:pPr>
              <w:autoSpaceDE w:val="0"/>
              <w:autoSpaceDN w:val="0"/>
              <w:adjustRightInd w:val="0"/>
              <w:rPr>
                <w:rFonts w:ascii="Calibri" w:hAnsi="Calibri" w:cs="Calibri"/>
                <w:sz w:val="20"/>
                <w:szCs w:val="20"/>
              </w:rPr>
            </w:pPr>
            <w:r w:rsidRPr="00702466">
              <w:rPr>
                <w:rFonts w:ascii="Symbol" w:hAnsi="Symbol" w:cs="Symbol"/>
                <w:sz w:val="20"/>
                <w:szCs w:val="20"/>
              </w:rPr>
              <w:lastRenderedPageBreak/>
              <w:t></w:t>
            </w:r>
            <w:r w:rsidRPr="00702466">
              <w:rPr>
                <w:rFonts w:ascii="Symbol" w:hAnsi="Symbol" w:cs="Symbol"/>
                <w:sz w:val="20"/>
                <w:szCs w:val="20"/>
              </w:rPr>
              <w:t></w:t>
            </w:r>
            <w:r w:rsidRPr="00702466">
              <w:rPr>
                <w:rFonts w:ascii="Calibri" w:hAnsi="Calibri" w:cs="Calibri"/>
                <w:sz w:val="20"/>
                <w:szCs w:val="20"/>
              </w:rPr>
              <w:t>Verbal content. For example, reflecting the question in the answer immediately after the</w:t>
            </w:r>
          </w:p>
          <w:p w:rsidR="00702466" w:rsidRPr="00702466" w:rsidRDefault="00702466" w:rsidP="00702466">
            <w:pPr>
              <w:autoSpaceDE w:val="0"/>
              <w:autoSpaceDN w:val="0"/>
              <w:adjustRightInd w:val="0"/>
              <w:rPr>
                <w:rFonts w:ascii="Calibri" w:hAnsi="Calibri" w:cs="Calibri"/>
                <w:sz w:val="20"/>
                <w:szCs w:val="20"/>
              </w:rPr>
            </w:pPr>
            <w:r w:rsidRPr="00702466">
              <w:rPr>
                <w:rFonts w:ascii="Calibri" w:hAnsi="Calibri" w:cs="Calibri"/>
                <w:sz w:val="20"/>
                <w:szCs w:val="20"/>
              </w:rPr>
              <w:t>question has been asked. Question: “Did you write a cheque to yourself?” Answer: “No, I did not</w:t>
            </w:r>
          </w:p>
          <w:p w:rsidR="00702466" w:rsidRPr="00702466" w:rsidRDefault="00702466" w:rsidP="00702466">
            <w:pPr>
              <w:autoSpaceDE w:val="0"/>
              <w:autoSpaceDN w:val="0"/>
              <w:adjustRightInd w:val="0"/>
              <w:rPr>
                <w:rFonts w:ascii="Calibri" w:hAnsi="Calibri" w:cs="Calibri"/>
                <w:sz w:val="20"/>
                <w:szCs w:val="20"/>
              </w:rPr>
            </w:pPr>
            <w:r w:rsidRPr="00702466">
              <w:rPr>
                <w:rFonts w:ascii="Calibri" w:hAnsi="Calibri" w:cs="Calibri"/>
                <w:sz w:val="20"/>
                <w:szCs w:val="20"/>
              </w:rPr>
              <w:t>write a cheque to myself.”</w:t>
            </w:r>
          </w:p>
          <w:p w:rsidR="00702466" w:rsidRPr="00702466" w:rsidRDefault="00702466" w:rsidP="00702466">
            <w:pPr>
              <w:autoSpaceDE w:val="0"/>
              <w:autoSpaceDN w:val="0"/>
              <w:adjustRightInd w:val="0"/>
              <w:rPr>
                <w:rFonts w:ascii="Calibri" w:hAnsi="Calibri" w:cs="Calibri"/>
                <w:sz w:val="20"/>
                <w:szCs w:val="20"/>
              </w:rPr>
            </w:pPr>
            <w:r w:rsidRPr="00702466">
              <w:rPr>
                <w:rFonts w:ascii="Symbol" w:hAnsi="Symbol" w:cs="Symbol"/>
                <w:sz w:val="20"/>
                <w:szCs w:val="20"/>
              </w:rPr>
              <w:t></w:t>
            </w:r>
            <w:r w:rsidRPr="00702466">
              <w:rPr>
                <w:rFonts w:ascii="Symbol" w:hAnsi="Symbol" w:cs="Symbol"/>
                <w:sz w:val="20"/>
                <w:szCs w:val="20"/>
              </w:rPr>
              <w:t></w:t>
            </w:r>
            <w:r w:rsidRPr="00702466">
              <w:rPr>
                <w:rFonts w:ascii="Calibri" w:hAnsi="Calibri" w:cs="Calibri"/>
                <w:sz w:val="20"/>
                <w:szCs w:val="20"/>
              </w:rPr>
              <w:t>How comments are phrased. Replacing the pronoun in order to disassociate people or events, for</w:t>
            </w:r>
          </w:p>
          <w:p w:rsidR="00702466" w:rsidRPr="00702466" w:rsidRDefault="00702466" w:rsidP="00702466">
            <w:pPr>
              <w:autoSpaceDE w:val="0"/>
              <w:autoSpaceDN w:val="0"/>
              <w:adjustRightInd w:val="0"/>
              <w:rPr>
                <w:rFonts w:ascii="Calibri" w:hAnsi="Calibri" w:cs="Calibri"/>
                <w:sz w:val="20"/>
                <w:szCs w:val="20"/>
              </w:rPr>
            </w:pPr>
            <w:r w:rsidRPr="00702466">
              <w:rPr>
                <w:rFonts w:ascii="Calibri" w:hAnsi="Calibri" w:cs="Calibri"/>
                <w:sz w:val="20"/>
                <w:szCs w:val="20"/>
              </w:rPr>
              <w:t>example using “the equipment” instead of “my equipment”.</w:t>
            </w:r>
          </w:p>
          <w:p w:rsidR="00702466" w:rsidRPr="00702466" w:rsidRDefault="00702466" w:rsidP="00702466">
            <w:pPr>
              <w:autoSpaceDE w:val="0"/>
              <w:autoSpaceDN w:val="0"/>
              <w:adjustRightInd w:val="0"/>
              <w:rPr>
                <w:rFonts w:ascii="Calibri" w:hAnsi="Calibri" w:cs="Calibri"/>
                <w:sz w:val="20"/>
                <w:szCs w:val="20"/>
              </w:rPr>
            </w:pPr>
            <w:r w:rsidRPr="00702466">
              <w:rPr>
                <w:rFonts w:ascii="Symbol" w:hAnsi="Symbol" w:cs="Symbol"/>
                <w:sz w:val="20"/>
                <w:szCs w:val="20"/>
              </w:rPr>
              <w:t></w:t>
            </w:r>
            <w:r w:rsidRPr="00702466">
              <w:rPr>
                <w:rFonts w:ascii="Symbol" w:hAnsi="Symbol" w:cs="Symbol"/>
                <w:sz w:val="20"/>
                <w:szCs w:val="20"/>
              </w:rPr>
              <w:t></w:t>
            </w:r>
            <w:r w:rsidRPr="00702466">
              <w:rPr>
                <w:rFonts w:ascii="Calibri" w:hAnsi="Calibri" w:cs="Calibri"/>
                <w:sz w:val="20"/>
                <w:szCs w:val="20"/>
              </w:rPr>
              <w:t>Psychological frames. Lies and deceitful statements always leave out details of what went wrong,</w:t>
            </w:r>
          </w:p>
          <w:p w:rsidR="00702466" w:rsidRDefault="00702466" w:rsidP="00702466">
            <w:pPr>
              <w:autoSpaceDE w:val="0"/>
              <w:autoSpaceDN w:val="0"/>
              <w:adjustRightInd w:val="0"/>
              <w:rPr>
                <w:rFonts w:ascii="Calibri" w:hAnsi="Calibri" w:cs="Calibri"/>
                <w:sz w:val="20"/>
                <w:szCs w:val="20"/>
              </w:rPr>
            </w:pPr>
            <w:r w:rsidRPr="00702466">
              <w:rPr>
                <w:rFonts w:ascii="Calibri" w:hAnsi="Calibri" w:cs="Calibri"/>
                <w:sz w:val="20"/>
                <w:szCs w:val="20"/>
              </w:rPr>
              <w:t>except for details related to delays and cancellations.</w:t>
            </w:r>
          </w:p>
          <w:p w:rsidR="00702466" w:rsidRPr="00702466" w:rsidRDefault="00702466" w:rsidP="00702466">
            <w:pPr>
              <w:autoSpaceDE w:val="0"/>
              <w:autoSpaceDN w:val="0"/>
              <w:adjustRightInd w:val="0"/>
              <w:rPr>
                <w:rFonts w:ascii="Calibri" w:hAnsi="Calibri" w:cs="Calibri"/>
                <w:color w:val="FF0000"/>
                <w:sz w:val="20"/>
                <w:szCs w:val="20"/>
              </w:rPr>
            </w:pPr>
            <w:r>
              <w:rPr>
                <w:rFonts w:ascii="Calibri" w:hAnsi="Calibri" w:cs="Calibri"/>
                <w:color w:val="FF0000"/>
                <w:sz w:val="20"/>
                <w:szCs w:val="20"/>
              </w:rPr>
              <w:t>Statement analysis</w:t>
            </w:r>
          </w:p>
          <w:p w:rsidR="002C577C" w:rsidRPr="00702466" w:rsidRDefault="002C577C" w:rsidP="002C577C">
            <w:pPr>
              <w:autoSpaceDE w:val="0"/>
              <w:autoSpaceDN w:val="0"/>
              <w:adjustRightInd w:val="0"/>
              <w:rPr>
                <w:rFonts w:ascii="Calibri" w:hAnsi="Calibri" w:cs="Calibri"/>
                <w:sz w:val="20"/>
                <w:szCs w:val="20"/>
              </w:rPr>
            </w:pPr>
            <w:r w:rsidRPr="00702466">
              <w:rPr>
                <w:rFonts w:ascii="Calibri" w:hAnsi="Calibri" w:cs="Calibri"/>
                <w:sz w:val="20"/>
                <w:szCs w:val="20"/>
              </w:rPr>
              <w:t>Statement analysis examines a statement word by word</w:t>
            </w:r>
            <w:r w:rsidRPr="00702466">
              <w:rPr>
                <w:rFonts w:ascii="Calibri" w:hAnsi="Calibri" w:cs="Calibri"/>
                <w:sz w:val="20"/>
                <w:szCs w:val="20"/>
              </w:rPr>
              <w:t xml:space="preserve"> and </w:t>
            </w:r>
            <w:r w:rsidRPr="00702466">
              <w:rPr>
                <w:rFonts w:ascii="Calibri" w:hAnsi="Calibri" w:cs="Calibri"/>
                <w:sz w:val="20"/>
                <w:szCs w:val="20"/>
              </w:rPr>
              <w:t>tries to identify cues and signs indicating that a person is trying to distance</w:t>
            </w:r>
            <w:r w:rsidRPr="00702466">
              <w:rPr>
                <w:rFonts w:ascii="Calibri" w:hAnsi="Calibri" w:cs="Calibri"/>
                <w:sz w:val="20"/>
                <w:szCs w:val="20"/>
              </w:rPr>
              <w:t xml:space="preserve"> </w:t>
            </w:r>
            <w:r w:rsidRPr="00702466">
              <w:rPr>
                <w:rFonts w:ascii="Calibri" w:hAnsi="Calibri" w:cs="Calibri"/>
                <w:sz w:val="20"/>
                <w:szCs w:val="20"/>
              </w:rPr>
              <w:t>themselves from the stated facts</w:t>
            </w:r>
          </w:p>
          <w:p w:rsidR="002C577C" w:rsidRPr="00702466" w:rsidRDefault="002C577C" w:rsidP="002C577C">
            <w:pPr>
              <w:autoSpaceDE w:val="0"/>
              <w:autoSpaceDN w:val="0"/>
              <w:adjustRightInd w:val="0"/>
              <w:rPr>
                <w:rFonts w:ascii="Calibri" w:hAnsi="Calibri" w:cs="Calibri"/>
                <w:sz w:val="20"/>
                <w:szCs w:val="20"/>
              </w:rPr>
            </w:pPr>
            <w:r w:rsidRPr="00702466">
              <w:rPr>
                <w:rFonts w:ascii="Calibri" w:hAnsi="Calibri" w:cs="Calibri"/>
                <w:sz w:val="20"/>
                <w:szCs w:val="20"/>
              </w:rPr>
              <w:t>Statement analysis is applicable to written statements, audio-recorded</w:t>
            </w:r>
          </w:p>
          <w:p w:rsidR="002B5327" w:rsidRPr="00702466" w:rsidRDefault="002C577C" w:rsidP="002C577C">
            <w:pPr>
              <w:autoSpaceDE w:val="0"/>
              <w:autoSpaceDN w:val="0"/>
              <w:adjustRightInd w:val="0"/>
              <w:rPr>
                <w:rFonts w:ascii="Calibri" w:hAnsi="Calibri" w:cs="Calibri"/>
                <w:sz w:val="20"/>
                <w:szCs w:val="20"/>
              </w:rPr>
            </w:pPr>
            <w:r w:rsidRPr="00702466">
              <w:rPr>
                <w:rFonts w:ascii="Calibri" w:hAnsi="Calibri" w:cs="Calibri"/>
                <w:sz w:val="20"/>
                <w:szCs w:val="20"/>
              </w:rPr>
              <w:t>statements, or videotaped statements.</w:t>
            </w:r>
            <w:r w:rsidRPr="00702466">
              <w:rPr>
                <w:rFonts w:ascii="Calibri" w:hAnsi="Calibri" w:cs="Calibri"/>
                <w:sz w:val="20"/>
                <w:szCs w:val="20"/>
              </w:rPr>
              <w:t>.</w:t>
            </w:r>
          </w:p>
          <w:p w:rsidR="002C577C" w:rsidRPr="00702466" w:rsidRDefault="002C577C" w:rsidP="002C577C">
            <w:pPr>
              <w:autoSpaceDE w:val="0"/>
              <w:autoSpaceDN w:val="0"/>
              <w:adjustRightInd w:val="0"/>
              <w:rPr>
                <w:rFonts w:ascii="Calibri" w:hAnsi="Calibri" w:cs="Calibri"/>
                <w:sz w:val="20"/>
                <w:szCs w:val="20"/>
              </w:rPr>
            </w:pPr>
            <w:r w:rsidRPr="00702466">
              <w:rPr>
                <w:rFonts w:ascii="Calibri" w:hAnsi="Calibri" w:cs="Calibri"/>
                <w:sz w:val="20"/>
                <w:szCs w:val="20"/>
              </w:rPr>
              <w:sym w:font="Wingdings" w:char="F0E0"/>
            </w:r>
            <w:r w:rsidRPr="00702466">
              <w:rPr>
                <w:rFonts w:ascii="Calibri" w:hAnsi="Calibri" w:cs="Calibri"/>
                <w:sz w:val="20"/>
                <w:szCs w:val="20"/>
              </w:rPr>
              <w:t xml:space="preserve"> </w:t>
            </w:r>
            <w:r w:rsidRPr="00702466">
              <w:rPr>
                <w:rFonts w:ascii="Calibri" w:hAnsi="Calibri" w:cs="Calibri"/>
                <w:sz w:val="20"/>
                <w:szCs w:val="20"/>
              </w:rPr>
              <w:t>Written</w:t>
            </w:r>
            <w:r w:rsidRPr="00702466">
              <w:rPr>
                <w:rFonts w:ascii="Calibri" w:hAnsi="Calibri" w:cs="Calibri"/>
                <w:sz w:val="20"/>
                <w:szCs w:val="20"/>
              </w:rPr>
              <w:t xml:space="preserve"> and Audio</w:t>
            </w:r>
          </w:p>
          <w:p w:rsidR="002C577C" w:rsidRPr="00702466" w:rsidRDefault="002C577C" w:rsidP="002C577C">
            <w:pPr>
              <w:pStyle w:val="Paragrafoelenco"/>
              <w:numPr>
                <w:ilvl w:val="0"/>
                <w:numId w:val="16"/>
              </w:numPr>
              <w:autoSpaceDE w:val="0"/>
              <w:autoSpaceDN w:val="0"/>
              <w:adjustRightInd w:val="0"/>
              <w:rPr>
                <w:rFonts w:cs="Calibri"/>
                <w:sz w:val="20"/>
                <w:szCs w:val="20"/>
              </w:rPr>
            </w:pPr>
            <w:r w:rsidRPr="00702466">
              <w:rPr>
                <w:rFonts w:cs="Calibri"/>
                <w:sz w:val="20"/>
                <w:szCs w:val="20"/>
              </w:rPr>
              <w:t>Pronoun analysis: I vs. them</w:t>
            </w:r>
          </w:p>
          <w:p w:rsidR="002C577C" w:rsidRPr="00702466" w:rsidRDefault="002C577C" w:rsidP="002C577C">
            <w:pPr>
              <w:pStyle w:val="Paragrafoelenco"/>
              <w:numPr>
                <w:ilvl w:val="0"/>
                <w:numId w:val="16"/>
              </w:numPr>
              <w:autoSpaceDE w:val="0"/>
              <w:autoSpaceDN w:val="0"/>
              <w:adjustRightInd w:val="0"/>
              <w:rPr>
                <w:rFonts w:cs="Calibri"/>
                <w:sz w:val="20"/>
                <w:szCs w:val="20"/>
              </w:rPr>
            </w:pPr>
            <w:r w:rsidRPr="00702466">
              <w:rPr>
                <w:rFonts w:cs="Calibri"/>
                <w:sz w:val="20"/>
                <w:szCs w:val="20"/>
              </w:rPr>
              <w:t>Noun analysis: Joe/Susie vs. they/it</w:t>
            </w:r>
          </w:p>
          <w:p w:rsidR="002C577C" w:rsidRPr="00702466" w:rsidRDefault="002C577C" w:rsidP="002C577C">
            <w:pPr>
              <w:pStyle w:val="Paragrafoelenco"/>
              <w:numPr>
                <w:ilvl w:val="0"/>
                <w:numId w:val="16"/>
              </w:numPr>
              <w:autoSpaceDE w:val="0"/>
              <w:autoSpaceDN w:val="0"/>
              <w:adjustRightInd w:val="0"/>
              <w:rPr>
                <w:rFonts w:cs="Calibri"/>
                <w:sz w:val="20"/>
                <w:szCs w:val="20"/>
              </w:rPr>
            </w:pPr>
            <w:r w:rsidRPr="00702466">
              <w:rPr>
                <w:rFonts w:cs="Calibri"/>
                <w:sz w:val="20"/>
                <w:szCs w:val="20"/>
              </w:rPr>
              <w:t>Verb analysis: past tense vs. changing tenses (will often change</w:t>
            </w:r>
            <w:r w:rsidRPr="00702466">
              <w:rPr>
                <w:rFonts w:cs="Calibri"/>
                <w:sz w:val="20"/>
                <w:szCs w:val="20"/>
              </w:rPr>
              <w:t xml:space="preserve"> </w:t>
            </w:r>
            <w:r w:rsidRPr="00702466">
              <w:rPr>
                <w:rFonts w:cs="Calibri"/>
                <w:sz w:val="20"/>
                <w:szCs w:val="20"/>
              </w:rPr>
              <w:t>subconsciously in a statement)</w:t>
            </w:r>
          </w:p>
          <w:p w:rsidR="002C577C" w:rsidRPr="00702466" w:rsidRDefault="002C577C" w:rsidP="002C577C">
            <w:pPr>
              <w:pStyle w:val="Paragrafoelenco"/>
              <w:numPr>
                <w:ilvl w:val="0"/>
                <w:numId w:val="16"/>
              </w:numPr>
              <w:autoSpaceDE w:val="0"/>
              <w:autoSpaceDN w:val="0"/>
              <w:adjustRightInd w:val="0"/>
              <w:rPr>
                <w:rFonts w:cs="Calibri"/>
                <w:sz w:val="20"/>
                <w:szCs w:val="20"/>
              </w:rPr>
            </w:pPr>
            <w:r w:rsidRPr="00702466">
              <w:rPr>
                <w:rFonts w:cs="Calibri"/>
                <w:sz w:val="20"/>
                <w:szCs w:val="20"/>
              </w:rPr>
              <w:t>E</w:t>
            </w:r>
            <w:r w:rsidRPr="00702466">
              <w:rPr>
                <w:rFonts w:cs="Calibri"/>
                <w:sz w:val="20"/>
                <w:szCs w:val="20"/>
              </w:rPr>
              <w:t>xtraneous information analysis: missing vs. present</w:t>
            </w:r>
          </w:p>
          <w:p w:rsidR="002C577C" w:rsidRPr="00702466" w:rsidRDefault="002C577C" w:rsidP="002C577C">
            <w:pPr>
              <w:pStyle w:val="Paragrafoelenco"/>
              <w:numPr>
                <w:ilvl w:val="0"/>
                <w:numId w:val="16"/>
              </w:numPr>
              <w:autoSpaceDE w:val="0"/>
              <w:autoSpaceDN w:val="0"/>
              <w:adjustRightInd w:val="0"/>
              <w:rPr>
                <w:rFonts w:cs="Calibri"/>
                <w:sz w:val="20"/>
                <w:szCs w:val="20"/>
              </w:rPr>
            </w:pPr>
            <w:r w:rsidRPr="00702466">
              <w:rPr>
                <w:rFonts w:cs="Calibri"/>
                <w:sz w:val="20"/>
                <w:szCs w:val="20"/>
              </w:rPr>
              <w:t>Organizational analysis: chronological vs. disorganized</w:t>
            </w:r>
          </w:p>
          <w:p w:rsidR="002C577C" w:rsidRPr="00702466" w:rsidRDefault="002C577C" w:rsidP="002C577C">
            <w:pPr>
              <w:pStyle w:val="Paragrafoelenco"/>
              <w:numPr>
                <w:ilvl w:val="0"/>
                <w:numId w:val="16"/>
              </w:numPr>
              <w:autoSpaceDE w:val="0"/>
              <w:autoSpaceDN w:val="0"/>
              <w:adjustRightInd w:val="0"/>
              <w:rPr>
                <w:rFonts w:cs="Calibri"/>
                <w:sz w:val="20"/>
                <w:szCs w:val="20"/>
              </w:rPr>
            </w:pPr>
            <w:r w:rsidRPr="00702466">
              <w:rPr>
                <w:rFonts w:cs="Calibri"/>
                <w:sz w:val="20"/>
                <w:szCs w:val="20"/>
              </w:rPr>
              <w:t>Handwriting analysis: (a bonus technique)</w:t>
            </w:r>
          </w:p>
          <w:p w:rsidR="006A1EE2" w:rsidRPr="00702466" w:rsidRDefault="006A1EE2" w:rsidP="006A1EE2">
            <w:pPr>
              <w:autoSpaceDE w:val="0"/>
              <w:autoSpaceDN w:val="0"/>
              <w:adjustRightInd w:val="0"/>
              <w:rPr>
                <w:rFonts w:ascii="Calibri" w:hAnsi="Calibri" w:cs="Calibri"/>
                <w:color w:val="FF0000"/>
                <w:sz w:val="20"/>
                <w:szCs w:val="20"/>
              </w:rPr>
            </w:pPr>
            <w:r w:rsidRPr="00702466">
              <w:rPr>
                <w:rFonts w:ascii="Calibri,Bold" w:hAnsi="Calibri,Bold" w:cs="Calibri,Bold"/>
                <w:b/>
                <w:bCs/>
                <w:color w:val="C00000"/>
                <w:sz w:val="20"/>
                <w:szCs w:val="20"/>
              </w:rPr>
              <w:t xml:space="preserve">2. </w:t>
            </w:r>
            <w:r w:rsidRPr="00702466">
              <w:rPr>
                <w:rFonts w:ascii="Calibri" w:hAnsi="Calibri" w:cs="Calibri"/>
                <w:color w:val="000000"/>
                <w:sz w:val="20"/>
                <w:szCs w:val="20"/>
              </w:rPr>
              <w:t>‘</w:t>
            </w:r>
            <w:r w:rsidRPr="00702466">
              <w:rPr>
                <w:rFonts w:ascii="Calibri" w:hAnsi="Calibri" w:cs="Calibri"/>
                <w:color w:val="FF0000"/>
                <w:sz w:val="20"/>
                <w:szCs w:val="20"/>
              </w:rPr>
              <w:t>Asking questions in an audit is different from asking questions in fraud investigation.’</w:t>
            </w:r>
          </w:p>
          <w:p w:rsidR="006A1EE2" w:rsidRPr="00702466" w:rsidRDefault="006A1EE2" w:rsidP="006A1EE2">
            <w:pPr>
              <w:autoSpaceDE w:val="0"/>
              <w:autoSpaceDN w:val="0"/>
              <w:adjustRightInd w:val="0"/>
              <w:rPr>
                <w:rFonts w:ascii="Calibri" w:hAnsi="Calibri" w:cs="Calibri"/>
                <w:color w:val="FF0000"/>
                <w:sz w:val="20"/>
                <w:szCs w:val="20"/>
              </w:rPr>
            </w:pPr>
            <w:r w:rsidRPr="00702466">
              <w:rPr>
                <w:rFonts w:ascii="Calibri" w:hAnsi="Calibri" w:cs="Calibri"/>
                <w:color w:val="FF0000"/>
                <w:sz w:val="20"/>
                <w:szCs w:val="20"/>
              </w:rPr>
              <w:t>Discuss this. (5)</w:t>
            </w:r>
          </w:p>
          <w:p w:rsidR="00F92D49" w:rsidRPr="00702466" w:rsidRDefault="00F92D49" w:rsidP="00F45789">
            <w:pPr>
              <w:autoSpaceDE w:val="0"/>
              <w:autoSpaceDN w:val="0"/>
              <w:adjustRightInd w:val="0"/>
              <w:rPr>
                <w:rFonts w:ascii="Calibri" w:hAnsi="Calibri" w:cs="Calibri"/>
                <w:color w:val="000000"/>
                <w:sz w:val="20"/>
                <w:szCs w:val="20"/>
              </w:rPr>
            </w:pPr>
            <w:r w:rsidRPr="00702466">
              <w:rPr>
                <w:rFonts w:ascii="Calibri" w:hAnsi="Calibri" w:cs="Calibri"/>
                <w:color w:val="000000"/>
                <w:sz w:val="20"/>
                <w:szCs w:val="20"/>
              </w:rPr>
              <w:t>During audit you ask question that are needed for the audit regardless best practices of interview</w:t>
            </w:r>
            <w:r w:rsidR="00F45789" w:rsidRPr="00702466">
              <w:rPr>
                <w:rFonts w:ascii="Calibri" w:hAnsi="Calibri" w:cs="Calibri"/>
                <w:color w:val="000000"/>
                <w:sz w:val="20"/>
                <w:szCs w:val="20"/>
              </w:rPr>
              <w:t xml:space="preserve">. </w:t>
            </w:r>
            <w:r w:rsidR="00702466">
              <w:rPr>
                <w:rFonts w:ascii="Calibri" w:hAnsi="Calibri" w:cs="Calibri"/>
                <w:color w:val="000000"/>
                <w:sz w:val="20"/>
                <w:szCs w:val="20"/>
              </w:rPr>
              <w:t>Auditor is looking for the electronic, physical evidence, etc.</w:t>
            </w:r>
            <w:r w:rsidR="00F45789" w:rsidRPr="00702466">
              <w:rPr>
                <w:rFonts w:ascii="Calibri" w:hAnsi="Calibri" w:cs="Calibri"/>
                <w:color w:val="000000"/>
                <w:sz w:val="20"/>
                <w:szCs w:val="20"/>
              </w:rPr>
              <w:t xml:space="preserve"> meanwhile Investigator is looking also at body language</w:t>
            </w:r>
            <w:r w:rsidRPr="00702466">
              <w:rPr>
                <w:rFonts w:ascii="Calibri" w:hAnsi="Calibri" w:cs="Calibri"/>
                <w:color w:val="000000"/>
                <w:sz w:val="20"/>
                <w:szCs w:val="20"/>
              </w:rPr>
              <w:t xml:space="preserve">. During the fraud investigation it is important to use best practices for interview techniques. </w:t>
            </w:r>
            <w:r w:rsidR="00F45789" w:rsidRPr="00702466">
              <w:rPr>
                <w:rFonts w:ascii="Calibri" w:hAnsi="Calibri" w:cs="Calibri"/>
                <w:sz w:val="20"/>
                <w:szCs w:val="20"/>
              </w:rPr>
              <w:t>Questions asked</w:t>
            </w:r>
            <w:r w:rsidR="00F45789" w:rsidRPr="00702466">
              <w:rPr>
                <w:rFonts w:ascii="Calibri" w:hAnsi="Calibri" w:cs="Calibri"/>
                <w:sz w:val="20"/>
                <w:szCs w:val="20"/>
              </w:rPr>
              <w:t xml:space="preserve"> </w:t>
            </w:r>
            <w:r w:rsidR="00F45789" w:rsidRPr="00702466">
              <w:rPr>
                <w:rFonts w:ascii="Calibri" w:hAnsi="Calibri" w:cs="Calibri"/>
                <w:sz w:val="20"/>
                <w:szCs w:val="20"/>
              </w:rPr>
              <w:t>during an interview might fall into any of the following categories: (i) introductory, (ii) informational, (iii)</w:t>
            </w:r>
            <w:r w:rsidR="00F45789" w:rsidRPr="00702466">
              <w:rPr>
                <w:rFonts w:ascii="Calibri" w:hAnsi="Calibri" w:cs="Calibri"/>
                <w:sz w:val="20"/>
                <w:szCs w:val="20"/>
              </w:rPr>
              <w:t xml:space="preserve"> </w:t>
            </w:r>
            <w:r w:rsidR="00F45789" w:rsidRPr="00702466">
              <w:rPr>
                <w:rFonts w:ascii="Calibri" w:hAnsi="Calibri" w:cs="Calibri"/>
                <w:sz w:val="20"/>
                <w:szCs w:val="20"/>
              </w:rPr>
              <w:t>assessment, (iv) closing, (v) admission-seeking. According to most experts, open-ended questions are</w:t>
            </w:r>
            <w:r w:rsidR="00F45789" w:rsidRPr="00702466">
              <w:rPr>
                <w:rFonts w:ascii="Calibri" w:hAnsi="Calibri" w:cs="Calibri"/>
                <w:sz w:val="20"/>
                <w:szCs w:val="20"/>
              </w:rPr>
              <w:t xml:space="preserve"> </w:t>
            </w:r>
            <w:r w:rsidR="00F45789" w:rsidRPr="00702466">
              <w:rPr>
                <w:rFonts w:ascii="Calibri" w:hAnsi="Calibri" w:cs="Calibri"/>
                <w:sz w:val="20"/>
                <w:szCs w:val="20"/>
              </w:rPr>
              <w:t>much more effective than simple “yes” or “no” questions.</w:t>
            </w:r>
          </w:p>
          <w:p w:rsidR="00113D6B" w:rsidRPr="00702466" w:rsidRDefault="006A1EE2" w:rsidP="006A1EE2">
            <w:pPr>
              <w:autoSpaceDE w:val="0"/>
              <w:autoSpaceDN w:val="0"/>
              <w:adjustRightInd w:val="0"/>
              <w:rPr>
                <w:rFonts w:ascii="Calibri" w:hAnsi="Calibri" w:cs="Calibri"/>
                <w:color w:val="FF0000"/>
                <w:sz w:val="20"/>
                <w:szCs w:val="20"/>
              </w:rPr>
            </w:pPr>
            <w:r w:rsidRPr="00702466">
              <w:rPr>
                <w:rFonts w:ascii="Calibri,Bold" w:hAnsi="Calibri,Bold" w:cs="Calibri,Bold"/>
                <w:b/>
                <w:bCs/>
                <w:color w:val="C00000"/>
                <w:sz w:val="20"/>
                <w:szCs w:val="20"/>
              </w:rPr>
              <w:t xml:space="preserve">3. </w:t>
            </w:r>
            <w:r w:rsidRPr="00702466">
              <w:rPr>
                <w:rFonts w:ascii="Calibri" w:hAnsi="Calibri" w:cs="Calibri"/>
                <w:color w:val="FF0000"/>
                <w:sz w:val="20"/>
                <w:szCs w:val="20"/>
              </w:rPr>
              <w:t>Discuss the interviewing procedure for a financially sophisticated victim. (5)</w:t>
            </w:r>
          </w:p>
          <w:p w:rsidR="00702466" w:rsidRPr="00702466" w:rsidRDefault="00702466" w:rsidP="00702466">
            <w:pPr>
              <w:autoSpaceDE w:val="0"/>
              <w:autoSpaceDN w:val="0"/>
              <w:adjustRightInd w:val="0"/>
              <w:rPr>
                <w:rFonts w:ascii="Calibri" w:hAnsi="Calibri" w:cs="Calibri"/>
                <w:color w:val="000000"/>
                <w:sz w:val="20"/>
                <w:szCs w:val="20"/>
              </w:rPr>
            </w:pPr>
            <w:r w:rsidRPr="00702466">
              <w:rPr>
                <w:rFonts w:ascii="Calibri" w:hAnsi="Calibri" w:cs="Calibri"/>
                <w:color w:val="000000"/>
                <w:sz w:val="20"/>
                <w:szCs w:val="20"/>
              </w:rPr>
              <w:t>i</w:t>
            </w:r>
            <w:bookmarkStart w:id="0" w:name="_GoBack"/>
            <w:bookmarkEnd w:id="0"/>
            <w:r w:rsidRPr="00702466">
              <w:rPr>
                <w:rFonts w:ascii="Calibri" w:hAnsi="Calibri" w:cs="Calibri"/>
                <w:color w:val="000000"/>
                <w:sz w:val="20"/>
                <w:szCs w:val="20"/>
              </w:rPr>
              <w:t>t’s important to know exactly how to mine/probe for the information you need in an effective, professional manner. Should this type of witness be involved in fraudulent activity, they will usually know how to avoid incriminating themselves during the interview. As is the case with forensic accountancy across the board, the key to success lies in understanding the mindset of the fraudster, in order to stay one step ahead of them at all times.</w:t>
            </w:r>
            <w:r w:rsidRPr="00702466">
              <w:rPr>
                <w:sz w:val="20"/>
                <w:szCs w:val="20"/>
              </w:rPr>
              <w:t xml:space="preserve"> </w:t>
            </w:r>
            <w:r w:rsidRPr="00702466">
              <w:rPr>
                <w:rFonts w:ascii="Calibri" w:hAnsi="Calibri" w:cs="Calibri"/>
                <w:color w:val="000000"/>
                <w:sz w:val="20"/>
                <w:szCs w:val="20"/>
              </w:rPr>
              <w:t>Contrary to common perception, an interviewer’s best approach is not to write down questions that</w:t>
            </w:r>
            <w:r>
              <w:rPr>
                <w:rFonts w:ascii="Calibri" w:hAnsi="Calibri" w:cs="Calibri"/>
                <w:color w:val="000000"/>
                <w:sz w:val="20"/>
                <w:szCs w:val="20"/>
              </w:rPr>
              <w:t xml:space="preserve"> </w:t>
            </w:r>
            <w:r w:rsidRPr="00702466">
              <w:rPr>
                <w:rFonts w:ascii="Calibri" w:hAnsi="Calibri" w:cs="Calibri"/>
                <w:color w:val="000000"/>
                <w:sz w:val="20"/>
                <w:szCs w:val="20"/>
              </w:rPr>
              <w:t>he/she needs to ask the interviewee. Rather, it is much better to write down the key points and let the</w:t>
            </w:r>
            <w:r>
              <w:rPr>
                <w:rFonts w:ascii="Calibri" w:hAnsi="Calibri" w:cs="Calibri"/>
                <w:color w:val="000000"/>
                <w:sz w:val="20"/>
                <w:szCs w:val="20"/>
              </w:rPr>
              <w:t xml:space="preserve"> </w:t>
            </w:r>
            <w:r w:rsidRPr="00702466">
              <w:rPr>
                <w:rFonts w:ascii="Calibri" w:hAnsi="Calibri" w:cs="Calibri"/>
                <w:color w:val="000000"/>
                <w:sz w:val="20"/>
                <w:szCs w:val="20"/>
              </w:rPr>
              <w:t>conversation take a natural course. A fraudster may even manage</w:t>
            </w:r>
            <w:r>
              <w:rPr>
                <w:rFonts w:ascii="Calibri" w:hAnsi="Calibri" w:cs="Calibri"/>
                <w:color w:val="000000"/>
                <w:sz w:val="20"/>
                <w:szCs w:val="20"/>
              </w:rPr>
              <w:t xml:space="preserve"> </w:t>
            </w:r>
            <w:r w:rsidRPr="00702466">
              <w:rPr>
                <w:rFonts w:ascii="Calibri" w:hAnsi="Calibri" w:cs="Calibri"/>
                <w:color w:val="000000"/>
                <w:sz w:val="20"/>
                <w:szCs w:val="20"/>
              </w:rPr>
              <w:t>to catch sight of the written questions beforehand and prepare him/herself to answer them; therefore,</w:t>
            </w:r>
            <w:r>
              <w:rPr>
                <w:rFonts w:ascii="Calibri" w:hAnsi="Calibri" w:cs="Calibri"/>
                <w:color w:val="000000"/>
                <w:sz w:val="20"/>
                <w:szCs w:val="20"/>
              </w:rPr>
              <w:t xml:space="preserve"> </w:t>
            </w:r>
            <w:r w:rsidRPr="00702466">
              <w:rPr>
                <w:rFonts w:ascii="Calibri" w:hAnsi="Calibri" w:cs="Calibri"/>
                <w:color w:val="000000"/>
                <w:sz w:val="20"/>
                <w:szCs w:val="20"/>
              </w:rPr>
              <w:t>this approach is best avoided.</w:t>
            </w:r>
          </w:p>
        </w:tc>
      </w:tr>
    </w:tbl>
    <w:p w:rsidR="00503D7E" w:rsidRPr="00702466" w:rsidRDefault="00503D7E" w:rsidP="00A851DA">
      <w:pPr>
        <w:autoSpaceDE w:val="0"/>
        <w:autoSpaceDN w:val="0"/>
        <w:adjustRightInd w:val="0"/>
        <w:spacing w:after="0" w:line="240" w:lineRule="auto"/>
        <w:rPr>
          <w:rFonts w:cs="CalvertMT-Bold"/>
          <w:b/>
          <w:bCs/>
          <w:color w:val="002060"/>
          <w:sz w:val="20"/>
          <w:szCs w:val="20"/>
          <w:lang w:val="en-US"/>
        </w:rPr>
      </w:pPr>
    </w:p>
    <w:p w:rsidR="00A851DA" w:rsidRPr="00702466" w:rsidRDefault="00AE1481" w:rsidP="00A851DA">
      <w:pPr>
        <w:autoSpaceDE w:val="0"/>
        <w:autoSpaceDN w:val="0"/>
        <w:adjustRightInd w:val="0"/>
        <w:spacing w:after="0" w:line="240" w:lineRule="auto"/>
        <w:rPr>
          <w:rFonts w:cs="CalvertMT-Bold"/>
          <w:b/>
          <w:bCs/>
          <w:color w:val="002060"/>
          <w:sz w:val="20"/>
          <w:szCs w:val="20"/>
          <w:lang w:val="en-US"/>
        </w:rPr>
      </w:pPr>
      <w:r w:rsidRPr="00702466">
        <w:rPr>
          <w:rFonts w:cs="CalvertMT-Bold"/>
          <w:b/>
          <w:bCs/>
          <w:color w:val="002060"/>
          <w:sz w:val="20"/>
          <w:szCs w:val="20"/>
          <w:lang w:val="en-US"/>
        </w:rPr>
        <w:t>Student</w:t>
      </w:r>
      <w:r w:rsidR="00A851DA" w:rsidRPr="00702466">
        <w:rPr>
          <w:rFonts w:cs="CalvertMT-Bold"/>
          <w:b/>
          <w:bCs/>
          <w:color w:val="002060"/>
          <w:sz w:val="20"/>
          <w:szCs w:val="20"/>
          <w:lang w:val="en-US"/>
        </w:rPr>
        <w:t xml:space="preserve"> Statement:</w:t>
      </w:r>
    </w:p>
    <w:p w:rsidR="00A851DA" w:rsidRPr="00702466" w:rsidRDefault="00A851DA" w:rsidP="00A851DA">
      <w:pPr>
        <w:autoSpaceDE w:val="0"/>
        <w:autoSpaceDN w:val="0"/>
        <w:adjustRightInd w:val="0"/>
        <w:spacing w:after="0" w:line="240" w:lineRule="auto"/>
        <w:rPr>
          <w:rFonts w:cs="CalvertMT-Bold"/>
          <w:b/>
          <w:bCs/>
          <w:color w:val="001AE6"/>
          <w:sz w:val="20"/>
          <w:szCs w:val="20"/>
          <w:lang w:val="en-US"/>
        </w:rPr>
      </w:pPr>
    </w:p>
    <w:p w:rsidR="00A851DA" w:rsidRPr="00702466" w:rsidRDefault="00405895" w:rsidP="00A851DA">
      <w:pPr>
        <w:autoSpaceDE w:val="0"/>
        <w:autoSpaceDN w:val="0"/>
        <w:adjustRightInd w:val="0"/>
        <w:spacing w:after="0" w:line="240" w:lineRule="auto"/>
        <w:rPr>
          <w:rFonts w:cs="Bliss-Regular"/>
          <w:color w:val="000000"/>
          <w:sz w:val="20"/>
          <w:szCs w:val="20"/>
          <w:lang w:val="en-US"/>
        </w:rPr>
      </w:pPr>
      <w:r w:rsidRPr="00702466">
        <w:rPr>
          <w:rFonts w:cs="Bliss-Regular"/>
          <w:color w:val="000000"/>
          <w:sz w:val="20"/>
          <w:szCs w:val="20"/>
          <w:lang w:val="en-US"/>
        </w:rPr>
        <w:t>By submitting this assignment, I confirm that this is my own work.</w:t>
      </w:r>
    </w:p>
    <w:p w:rsidR="00503D7E" w:rsidRPr="00702466" w:rsidRDefault="00503D7E" w:rsidP="00A851DA">
      <w:pPr>
        <w:autoSpaceDE w:val="0"/>
        <w:autoSpaceDN w:val="0"/>
        <w:adjustRightInd w:val="0"/>
        <w:spacing w:after="0" w:line="240" w:lineRule="auto"/>
        <w:rPr>
          <w:rFonts w:cs="Bliss-Regular"/>
          <w:color w:val="000000"/>
          <w:sz w:val="20"/>
          <w:szCs w:val="20"/>
          <w:lang w:val="en-US"/>
        </w:rPr>
      </w:pPr>
    </w:p>
    <w:p w:rsidR="00503D7E" w:rsidRPr="00702466" w:rsidRDefault="00503D7E" w:rsidP="00A851DA">
      <w:pPr>
        <w:autoSpaceDE w:val="0"/>
        <w:autoSpaceDN w:val="0"/>
        <w:adjustRightInd w:val="0"/>
        <w:spacing w:after="0" w:line="240" w:lineRule="auto"/>
        <w:rPr>
          <w:rFonts w:cs="Bliss-Regular"/>
          <w:color w:val="000000"/>
          <w:sz w:val="20"/>
          <w:szCs w:val="20"/>
          <w:lang w:val="en-US"/>
        </w:rPr>
      </w:pPr>
    </w:p>
    <w:p w:rsidR="00A851DA" w:rsidRPr="00702466" w:rsidRDefault="00A851DA" w:rsidP="00A851DA">
      <w:pPr>
        <w:autoSpaceDE w:val="0"/>
        <w:autoSpaceDN w:val="0"/>
        <w:adjustRightInd w:val="0"/>
        <w:spacing w:after="0" w:line="240" w:lineRule="auto"/>
        <w:rPr>
          <w:rFonts w:cs="Bliss-Regular"/>
          <w:color w:val="000000"/>
          <w:sz w:val="20"/>
          <w:szCs w:val="20"/>
          <w:lang w:val="en-US"/>
        </w:rPr>
      </w:pPr>
    </w:p>
    <w:tbl>
      <w:tblPr>
        <w:tblStyle w:val="Grigliatabella"/>
        <w:tblW w:w="0" w:type="auto"/>
        <w:tblLook w:val="04A0" w:firstRow="1" w:lastRow="0" w:firstColumn="1" w:lastColumn="0" w:noHBand="0" w:noVBand="1"/>
      </w:tblPr>
      <w:tblGrid>
        <w:gridCol w:w="2264"/>
        <w:gridCol w:w="3892"/>
        <w:gridCol w:w="1252"/>
        <w:gridCol w:w="1608"/>
      </w:tblGrid>
      <w:tr w:rsidR="00405895" w:rsidRPr="00702466" w:rsidTr="0018002E">
        <w:tc>
          <w:tcPr>
            <w:tcW w:w="2264" w:type="dxa"/>
            <w:shd w:val="clear" w:color="auto" w:fill="D9D9D9" w:themeFill="background1" w:themeFillShade="D9"/>
          </w:tcPr>
          <w:p w:rsidR="00405895" w:rsidRPr="00702466" w:rsidRDefault="00405895" w:rsidP="00A851DA">
            <w:pPr>
              <w:rPr>
                <w:rFonts w:cs="Bliss-Regular"/>
                <w:color w:val="000000"/>
                <w:sz w:val="20"/>
                <w:szCs w:val="20"/>
              </w:rPr>
            </w:pPr>
            <w:r w:rsidRPr="00702466">
              <w:rPr>
                <w:rFonts w:cs="Bliss-Regular"/>
                <w:color w:val="000000"/>
                <w:sz w:val="20"/>
                <w:szCs w:val="20"/>
              </w:rPr>
              <w:t>Student Signature</w:t>
            </w:r>
          </w:p>
        </w:tc>
        <w:tc>
          <w:tcPr>
            <w:tcW w:w="3892" w:type="dxa"/>
          </w:tcPr>
          <w:p w:rsidR="00405895" w:rsidRPr="00702466" w:rsidRDefault="0018002E" w:rsidP="00A851DA">
            <w:pPr>
              <w:rPr>
                <w:rFonts w:cs="Bliss-Regular"/>
                <w:color w:val="000000"/>
                <w:sz w:val="20"/>
                <w:szCs w:val="20"/>
              </w:rPr>
            </w:pPr>
            <w:r w:rsidRPr="00702466">
              <w:rPr>
                <w:noProof/>
                <w:sz w:val="20"/>
                <w:szCs w:val="20"/>
                <w:lang w:eastAsia="en-GB"/>
              </w:rPr>
              <w:drawing>
                <wp:inline distT="0" distB="0" distL="0" distR="0" wp14:anchorId="71988D73" wp14:editId="04777B5A">
                  <wp:extent cx="889000" cy="222693"/>
                  <wp:effectExtent l="0" t="0" r="635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30472" cy="233082"/>
                          </a:xfrm>
                          <a:prstGeom prst="rect">
                            <a:avLst/>
                          </a:prstGeom>
                        </pic:spPr>
                      </pic:pic>
                    </a:graphicData>
                  </a:graphic>
                </wp:inline>
              </w:drawing>
            </w:r>
          </w:p>
        </w:tc>
        <w:tc>
          <w:tcPr>
            <w:tcW w:w="1252" w:type="dxa"/>
            <w:shd w:val="clear" w:color="auto" w:fill="D9D9D9" w:themeFill="background1" w:themeFillShade="D9"/>
          </w:tcPr>
          <w:p w:rsidR="00405895" w:rsidRPr="00702466" w:rsidRDefault="00405895" w:rsidP="00A851DA">
            <w:pPr>
              <w:rPr>
                <w:rFonts w:cs="Bliss-Regular"/>
                <w:color w:val="000000"/>
                <w:sz w:val="20"/>
                <w:szCs w:val="20"/>
              </w:rPr>
            </w:pPr>
            <w:r w:rsidRPr="00702466">
              <w:rPr>
                <w:rFonts w:cs="Bliss-Regular"/>
                <w:color w:val="000000"/>
                <w:sz w:val="20"/>
                <w:szCs w:val="20"/>
              </w:rPr>
              <w:t>Date</w:t>
            </w:r>
          </w:p>
        </w:tc>
        <w:tc>
          <w:tcPr>
            <w:tcW w:w="1608" w:type="dxa"/>
          </w:tcPr>
          <w:p w:rsidR="00405895" w:rsidRPr="00702466" w:rsidRDefault="0018002E" w:rsidP="00A851DA">
            <w:pPr>
              <w:rPr>
                <w:rFonts w:cs="Bliss-Regular"/>
                <w:color w:val="000000"/>
                <w:sz w:val="20"/>
                <w:szCs w:val="20"/>
              </w:rPr>
            </w:pPr>
            <w:r w:rsidRPr="00702466">
              <w:rPr>
                <w:rFonts w:cs="Bliss-Regular"/>
                <w:color w:val="000000"/>
                <w:sz w:val="20"/>
                <w:szCs w:val="20"/>
              </w:rPr>
              <w:t>19/05/2020</w:t>
            </w:r>
          </w:p>
        </w:tc>
      </w:tr>
    </w:tbl>
    <w:p w:rsidR="00A851DA" w:rsidRPr="00702466" w:rsidRDefault="00A851DA" w:rsidP="00A851DA">
      <w:pPr>
        <w:rPr>
          <w:rFonts w:cs="Bliss-Regular"/>
          <w:color w:val="000000"/>
          <w:sz w:val="20"/>
          <w:szCs w:val="20"/>
          <w:lang w:val="en-US"/>
        </w:rPr>
      </w:pPr>
    </w:p>
    <w:p w:rsidR="00A851DA" w:rsidRPr="00702466" w:rsidRDefault="00A851DA" w:rsidP="00A851DA">
      <w:pPr>
        <w:rPr>
          <w:rFonts w:cs="Bliss-Regular"/>
          <w:color w:val="000000"/>
          <w:sz w:val="20"/>
          <w:szCs w:val="20"/>
          <w:lang w:val="en-US"/>
        </w:rPr>
      </w:pPr>
    </w:p>
    <w:p w:rsidR="00A851DA" w:rsidRPr="00702466" w:rsidRDefault="00503D7E" w:rsidP="00503D7E">
      <w:pPr>
        <w:shd w:val="clear" w:color="auto" w:fill="D9D9D9" w:themeFill="background1" w:themeFillShade="D9"/>
        <w:rPr>
          <w:b/>
          <w:sz w:val="20"/>
          <w:szCs w:val="20"/>
          <w:lang w:val="en-US"/>
        </w:rPr>
      </w:pPr>
      <w:r w:rsidRPr="00702466">
        <w:rPr>
          <w:b/>
          <w:sz w:val="20"/>
          <w:szCs w:val="20"/>
          <w:lang w:val="en-US"/>
        </w:rPr>
        <w:t>For Tutor / Assessor Use Only</w:t>
      </w:r>
    </w:p>
    <w:tbl>
      <w:tblPr>
        <w:tblStyle w:val="Grigliatabella"/>
        <w:tblW w:w="0" w:type="auto"/>
        <w:tblLook w:val="04A0" w:firstRow="1" w:lastRow="0" w:firstColumn="1" w:lastColumn="0" w:noHBand="0" w:noVBand="1"/>
      </w:tblPr>
      <w:tblGrid>
        <w:gridCol w:w="4521"/>
        <w:gridCol w:w="4495"/>
      </w:tblGrid>
      <w:tr w:rsidR="00503D7E" w:rsidRPr="00702466" w:rsidTr="00B0415E">
        <w:trPr>
          <w:trHeight w:val="249"/>
        </w:trPr>
        <w:tc>
          <w:tcPr>
            <w:tcW w:w="4621" w:type="dxa"/>
            <w:shd w:val="clear" w:color="auto" w:fill="D9D9D9" w:themeFill="background1" w:themeFillShade="D9"/>
          </w:tcPr>
          <w:p w:rsidR="00503D7E" w:rsidRPr="00702466" w:rsidRDefault="00503D7E" w:rsidP="00503D7E">
            <w:pPr>
              <w:rPr>
                <w:b/>
                <w:color w:val="002060"/>
                <w:sz w:val="20"/>
                <w:szCs w:val="20"/>
              </w:rPr>
            </w:pPr>
            <w:r w:rsidRPr="00702466">
              <w:rPr>
                <w:b/>
                <w:color w:val="002060"/>
                <w:sz w:val="20"/>
                <w:szCs w:val="20"/>
              </w:rPr>
              <w:t>Total Marks</w:t>
            </w:r>
          </w:p>
        </w:tc>
        <w:tc>
          <w:tcPr>
            <w:tcW w:w="4621" w:type="dxa"/>
          </w:tcPr>
          <w:p w:rsidR="00503D7E" w:rsidRPr="00702466" w:rsidRDefault="00503D7E" w:rsidP="00503D7E">
            <w:pPr>
              <w:rPr>
                <w:rFonts w:cs="Times New Roman"/>
                <w:sz w:val="20"/>
                <w:szCs w:val="20"/>
              </w:rPr>
            </w:pPr>
          </w:p>
        </w:tc>
      </w:tr>
      <w:tr w:rsidR="00503D7E" w:rsidRPr="00702466" w:rsidTr="00B0415E">
        <w:tc>
          <w:tcPr>
            <w:tcW w:w="4621" w:type="dxa"/>
            <w:shd w:val="clear" w:color="auto" w:fill="D9D9D9" w:themeFill="background1" w:themeFillShade="D9"/>
          </w:tcPr>
          <w:p w:rsidR="00503D7E" w:rsidRPr="00702466" w:rsidRDefault="00503D7E" w:rsidP="00503D7E">
            <w:pPr>
              <w:rPr>
                <w:b/>
                <w:color w:val="002060"/>
                <w:sz w:val="20"/>
                <w:szCs w:val="20"/>
              </w:rPr>
            </w:pPr>
            <w:r w:rsidRPr="00702466">
              <w:rPr>
                <w:b/>
                <w:color w:val="002060"/>
                <w:sz w:val="20"/>
                <w:szCs w:val="20"/>
              </w:rPr>
              <w:t>Marks Obtained</w:t>
            </w:r>
          </w:p>
        </w:tc>
        <w:tc>
          <w:tcPr>
            <w:tcW w:w="4621" w:type="dxa"/>
          </w:tcPr>
          <w:p w:rsidR="00503D7E" w:rsidRPr="00702466" w:rsidRDefault="00503D7E" w:rsidP="00503D7E">
            <w:pPr>
              <w:rPr>
                <w:rFonts w:cs="Times New Roman"/>
                <w:sz w:val="20"/>
                <w:szCs w:val="20"/>
              </w:rPr>
            </w:pPr>
          </w:p>
        </w:tc>
      </w:tr>
      <w:tr w:rsidR="00503D7E" w:rsidRPr="00702466" w:rsidTr="00B0415E">
        <w:tc>
          <w:tcPr>
            <w:tcW w:w="4621" w:type="dxa"/>
            <w:shd w:val="clear" w:color="auto" w:fill="D9D9D9" w:themeFill="background1" w:themeFillShade="D9"/>
          </w:tcPr>
          <w:p w:rsidR="00503D7E" w:rsidRPr="00702466" w:rsidRDefault="00B0415E" w:rsidP="00503D7E">
            <w:pPr>
              <w:rPr>
                <w:b/>
                <w:color w:val="002060"/>
                <w:sz w:val="20"/>
                <w:szCs w:val="20"/>
              </w:rPr>
            </w:pPr>
            <w:r w:rsidRPr="00702466">
              <w:rPr>
                <w:b/>
                <w:color w:val="002060"/>
                <w:sz w:val="20"/>
                <w:szCs w:val="20"/>
              </w:rPr>
              <w:t>Percentage / Grade</w:t>
            </w:r>
          </w:p>
        </w:tc>
        <w:tc>
          <w:tcPr>
            <w:tcW w:w="4621" w:type="dxa"/>
          </w:tcPr>
          <w:p w:rsidR="00503D7E" w:rsidRPr="00702466" w:rsidRDefault="00503D7E" w:rsidP="00503D7E">
            <w:pPr>
              <w:rPr>
                <w:rFonts w:cs="Times New Roman"/>
                <w:sz w:val="20"/>
                <w:szCs w:val="20"/>
              </w:rPr>
            </w:pPr>
          </w:p>
        </w:tc>
      </w:tr>
    </w:tbl>
    <w:p w:rsidR="00A851DA" w:rsidRPr="00702466" w:rsidRDefault="00A851DA" w:rsidP="00503D7E">
      <w:pPr>
        <w:rPr>
          <w:rFonts w:cs="Times New Roman"/>
          <w:sz w:val="20"/>
          <w:szCs w:val="20"/>
        </w:rPr>
      </w:pPr>
    </w:p>
    <w:p w:rsidR="00607874" w:rsidRPr="00702466" w:rsidRDefault="00607874" w:rsidP="00503D7E">
      <w:pPr>
        <w:rPr>
          <w:rFonts w:cs="Times New Roman"/>
          <w:sz w:val="20"/>
          <w:szCs w:val="20"/>
        </w:rPr>
      </w:pPr>
    </w:p>
    <w:p w:rsidR="00607874" w:rsidRPr="00702466" w:rsidRDefault="00607874" w:rsidP="00503D7E">
      <w:pPr>
        <w:rPr>
          <w:rFonts w:cs="Times New Roman"/>
          <w:sz w:val="20"/>
          <w:szCs w:val="20"/>
        </w:rPr>
      </w:pPr>
    </w:p>
    <w:p w:rsidR="00607874" w:rsidRPr="00702466" w:rsidRDefault="00607874" w:rsidP="00503D7E">
      <w:pPr>
        <w:rPr>
          <w:rFonts w:cs="Times New Roman"/>
          <w:sz w:val="20"/>
          <w:szCs w:val="20"/>
        </w:rPr>
      </w:pPr>
    </w:p>
    <w:p w:rsidR="00607874" w:rsidRPr="00702466" w:rsidRDefault="00607874" w:rsidP="00503D7E">
      <w:pPr>
        <w:rPr>
          <w:rFonts w:cs="Times New Roman"/>
          <w:sz w:val="20"/>
          <w:szCs w:val="20"/>
        </w:rPr>
      </w:pPr>
    </w:p>
    <w:p w:rsidR="00607874" w:rsidRPr="00702466" w:rsidRDefault="00607874" w:rsidP="00503D7E">
      <w:pPr>
        <w:rPr>
          <w:rFonts w:cs="Times New Roman"/>
          <w:sz w:val="20"/>
          <w:szCs w:val="20"/>
        </w:rPr>
      </w:pPr>
    </w:p>
    <w:p w:rsidR="00607874" w:rsidRPr="00702466" w:rsidRDefault="00607874" w:rsidP="00503D7E">
      <w:pPr>
        <w:rPr>
          <w:rFonts w:cs="Times New Roman"/>
          <w:sz w:val="20"/>
          <w:szCs w:val="20"/>
        </w:rPr>
      </w:pPr>
    </w:p>
    <w:p w:rsidR="00607874" w:rsidRPr="00702466" w:rsidRDefault="00607874" w:rsidP="00503D7E">
      <w:pPr>
        <w:rPr>
          <w:rFonts w:cs="Times New Roman"/>
          <w:sz w:val="20"/>
          <w:szCs w:val="20"/>
        </w:rPr>
      </w:pPr>
    </w:p>
    <w:p w:rsidR="00EA30AB" w:rsidRPr="00702466" w:rsidRDefault="00EA30AB" w:rsidP="00503D7E">
      <w:pPr>
        <w:rPr>
          <w:rFonts w:cs="Times New Roman"/>
          <w:sz w:val="20"/>
          <w:szCs w:val="20"/>
        </w:rPr>
      </w:pPr>
    </w:p>
    <w:p w:rsidR="00EA30AB" w:rsidRPr="00702466" w:rsidRDefault="00EA30AB" w:rsidP="00503D7E">
      <w:pPr>
        <w:rPr>
          <w:rFonts w:cs="Times New Roman"/>
          <w:sz w:val="20"/>
          <w:szCs w:val="20"/>
        </w:rPr>
      </w:pPr>
    </w:p>
    <w:p w:rsidR="00EA30AB" w:rsidRPr="00702466" w:rsidRDefault="00EA30AB" w:rsidP="00503D7E">
      <w:pPr>
        <w:rPr>
          <w:rFonts w:cs="Times New Roman"/>
          <w:sz w:val="20"/>
          <w:szCs w:val="20"/>
        </w:rPr>
      </w:pPr>
    </w:p>
    <w:sectPr w:rsidR="00EA30AB" w:rsidRPr="0070246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0C6" w:rsidRDefault="00A740C6" w:rsidP="00CB4D0A">
      <w:pPr>
        <w:spacing w:after="0" w:line="240" w:lineRule="auto"/>
      </w:pPr>
      <w:r>
        <w:separator/>
      </w:r>
    </w:p>
  </w:endnote>
  <w:endnote w:type="continuationSeparator" w:id="0">
    <w:p w:rsidR="00A740C6" w:rsidRDefault="00A740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0C6" w:rsidRDefault="00A740C6" w:rsidP="00CB4D0A">
      <w:pPr>
        <w:spacing w:after="0" w:line="240" w:lineRule="auto"/>
      </w:pPr>
      <w:r>
        <w:separator/>
      </w:r>
    </w:p>
  </w:footnote>
  <w:footnote w:type="continuationSeparator" w:id="0">
    <w:p w:rsidR="00A740C6" w:rsidRDefault="00A740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679AE"/>
    <w:multiLevelType w:val="hybridMultilevel"/>
    <w:tmpl w:val="00AE54A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9511C06"/>
    <w:multiLevelType w:val="hybridMultilevel"/>
    <w:tmpl w:val="A43E55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B55C36"/>
    <w:multiLevelType w:val="hybridMultilevel"/>
    <w:tmpl w:val="AB266E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4536CC4"/>
    <w:multiLevelType w:val="hybridMultilevel"/>
    <w:tmpl w:val="D40C73B0"/>
    <w:lvl w:ilvl="0" w:tplc="08090001">
      <w:start w:val="1"/>
      <w:numFmt w:val="bullet"/>
      <w:lvlText w:val=""/>
      <w:lvlJc w:val="left"/>
      <w:pPr>
        <w:ind w:left="720" w:hanging="360"/>
      </w:pPr>
      <w:rPr>
        <w:rFonts w:ascii="Symbol" w:hAnsi="Symbol" w:hint="default"/>
      </w:rPr>
    </w:lvl>
    <w:lvl w:ilvl="1" w:tplc="C986B21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4BB005E"/>
    <w:multiLevelType w:val="hybridMultilevel"/>
    <w:tmpl w:val="A5B45EBA"/>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6737B9"/>
    <w:multiLevelType w:val="hybridMultilevel"/>
    <w:tmpl w:val="BAF0395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C7951B4"/>
    <w:multiLevelType w:val="hybridMultilevel"/>
    <w:tmpl w:val="CFEC13D4"/>
    <w:lvl w:ilvl="0" w:tplc="31E20B88">
      <w:start w:val="3"/>
      <w:numFmt w:val="bullet"/>
      <w:lvlText w:val=""/>
      <w:lvlJc w:val="left"/>
      <w:pPr>
        <w:ind w:left="720" w:hanging="360"/>
      </w:pPr>
      <w:rPr>
        <w:rFonts w:ascii="Wingdings" w:eastAsiaTheme="minorHAnsi" w:hAnsi="Wingdings"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B7508F"/>
    <w:multiLevelType w:val="hybridMultilevel"/>
    <w:tmpl w:val="CE80BB76"/>
    <w:lvl w:ilvl="0" w:tplc="48AAF474">
      <w:start w:val="2"/>
      <w:numFmt w:val="bullet"/>
      <w:lvlText w:val=""/>
      <w:lvlJc w:val="left"/>
      <w:pPr>
        <w:ind w:left="1080" w:hanging="360"/>
      </w:pPr>
      <w:rPr>
        <w:rFonts w:ascii="Wingdings" w:eastAsia="Calibri" w:hAnsi="Wingdings"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40DA34D0"/>
    <w:multiLevelType w:val="hybridMultilevel"/>
    <w:tmpl w:val="72907ED2"/>
    <w:lvl w:ilvl="0" w:tplc="BB8806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4A22A85"/>
    <w:multiLevelType w:val="hybridMultilevel"/>
    <w:tmpl w:val="FCB0AE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5C670AF"/>
    <w:multiLevelType w:val="hybridMultilevel"/>
    <w:tmpl w:val="506466EA"/>
    <w:lvl w:ilvl="0" w:tplc="0A76A728">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762F6D"/>
    <w:multiLevelType w:val="hybridMultilevel"/>
    <w:tmpl w:val="51301B7A"/>
    <w:lvl w:ilvl="0" w:tplc="7F8209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3D300F1"/>
    <w:multiLevelType w:val="hybridMultilevel"/>
    <w:tmpl w:val="076E7B78"/>
    <w:lvl w:ilvl="0" w:tplc="6068DB3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676310E"/>
    <w:multiLevelType w:val="hybridMultilevel"/>
    <w:tmpl w:val="1F0089A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4B00080"/>
    <w:multiLevelType w:val="hybridMultilevel"/>
    <w:tmpl w:val="F2CCFC3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41A6171"/>
    <w:multiLevelType w:val="hybridMultilevel"/>
    <w:tmpl w:val="666464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13"/>
  </w:num>
  <w:num w:numId="3">
    <w:abstractNumId w:val="16"/>
  </w:num>
  <w:num w:numId="4">
    <w:abstractNumId w:val="5"/>
  </w:num>
  <w:num w:numId="5">
    <w:abstractNumId w:val="14"/>
  </w:num>
  <w:num w:numId="6">
    <w:abstractNumId w:val="7"/>
  </w:num>
  <w:num w:numId="7">
    <w:abstractNumId w:val="2"/>
  </w:num>
  <w:num w:numId="8">
    <w:abstractNumId w:val="0"/>
  </w:num>
  <w:num w:numId="9">
    <w:abstractNumId w:val="12"/>
  </w:num>
  <w:num w:numId="10">
    <w:abstractNumId w:val="3"/>
  </w:num>
  <w:num w:numId="11">
    <w:abstractNumId w:val="4"/>
  </w:num>
  <w:num w:numId="12">
    <w:abstractNumId w:val="9"/>
  </w:num>
  <w:num w:numId="13">
    <w:abstractNumId w:val="1"/>
  </w:num>
  <w:num w:numId="14">
    <w:abstractNumId w:val="15"/>
  </w:num>
  <w:num w:numId="15">
    <w:abstractNumId w:val="8"/>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E9B"/>
    <w:rsid w:val="00055992"/>
    <w:rsid w:val="000820E8"/>
    <w:rsid w:val="0008315C"/>
    <w:rsid w:val="00085991"/>
    <w:rsid w:val="000E2178"/>
    <w:rsid w:val="00113D6B"/>
    <w:rsid w:val="001175EE"/>
    <w:rsid w:val="00157CF6"/>
    <w:rsid w:val="00161833"/>
    <w:rsid w:val="0016284D"/>
    <w:rsid w:val="0018002E"/>
    <w:rsid w:val="00182416"/>
    <w:rsid w:val="00187EB4"/>
    <w:rsid w:val="001F0481"/>
    <w:rsid w:val="00200C92"/>
    <w:rsid w:val="0020451E"/>
    <w:rsid w:val="00206B9D"/>
    <w:rsid w:val="0023259C"/>
    <w:rsid w:val="00291C57"/>
    <w:rsid w:val="002B0BD7"/>
    <w:rsid w:val="002B5327"/>
    <w:rsid w:val="002B573D"/>
    <w:rsid w:val="002C577C"/>
    <w:rsid w:val="002C5CB2"/>
    <w:rsid w:val="002D62F8"/>
    <w:rsid w:val="002F0896"/>
    <w:rsid w:val="002F2AF9"/>
    <w:rsid w:val="002F779F"/>
    <w:rsid w:val="00371885"/>
    <w:rsid w:val="003E2B87"/>
    <w:rsid w:val="00402786"/>
    <w:rsid w:val="00405895"/>
    <w:rsid w:val="004058DF"/>
    <w:rsid w:val="00443E6F"/>
    <w:rsid w:val="00453A5D"/>
    <w:rsid w:val="00486F1A"/>
    <w:rsid w:val="00490CB9"/>
    <w:rsid w:val="004A2CE2"/>
    <w:rsid w:val="004E3CDA"/>
    <w:rsid w:val="004F4B4D"/>
    <w:rsid w:val="0050216D"/>
    <w:rsid w:val="00503D7E"/>
    <w:rsid w:val="0050778F"/>
    <w:rsid w:val="00527C11"/>
    <w:rsid w:val="00535F31"/>
    <w:rsid w:val="005561DB"/>
    <w:rsid w:val="00574D64"/>
    <w:rsid w:val="00591365"/>
    <w:rsid w:val="005B31E4"/>
    <w:rsid w:val="005B7940"/>
    <w:rsid w:val="005F547E"/>
    <w:rsid w:val="006034F6"/>
    <w:rsid w:val="00607874"/>
    <w:rsid w:val="00607E77"/>
    <w:rsid w:val="00617BB3"/>
    <w:rsid w:val="00645CDD"/>
    <w:rsid w:val="00681D37"/>
    <w:rsid w:val="006823A7"/>
    <w:rsid w:val="00687EE8"/>
    <w:rsid w:val="006A1EE2"/>
    <w:rsid w:val="006C003A"/>
    <w:rsid w:val="006C7C66"/>
    <w:rsid w:val="00702466"/>
    <w:rsid w:val="0070347F"/>
    <w:rsid w:val="0070678E"/>
    <w:rsid w:val="00831C11"/>
    <w:rsid w:val="008A11CA"/>
    <w:rsid w:val="008A1AD4"/>
    <w:rsid w:val="008A39B4"/>
    <w:rsid w:val="008A60B4"/>
    <w:rsid w:val="008B3C31"/>
    <w:rsid w:val="008B64FE"/>
    <w:rsid w:val="00935BF7"/>
    <w:rsid w:val="0095442C"/>
    <w:rsid w:val="00983942"/>
    <w:rsid w:val="009C37E0"/>
    <w:rsid w:val="009E41F4"/>
    <w:rsid w:val="009F6B1F"/>
    <w:rsid w:val="00A1344F"/>
    <w:rsid w:val="00A14B66"/>
    <w:rsid w:val="00A65CF7"/>
    <w:rsid w:val="00A740C6"/>
    <w:rsid w:val="00A81AB4"/>
    <w:rsid w:val="00A851DA"/>
    <w:rsid w:val="00AC7D5B"/>
    <w:rsid w:val="00AE1481"/>
    <w:rsid w:val="00B02F47"/>
    <w:rsid w:val="00B0415E"/>
    <w:rsid w:val="00B04678"/>
    <w:rsid w:val="00B21629"/>
    <w:rsid w:val="00B25BEF"/>
    <w:rsid w:val="00BC46DF"/>
    <w:rsid w:val="00C03577"/>
    <w:rsid w:val="00C14181"/>
    <w:rsid w:val="00C463F8"/>
    <w:rsid w:val="00C53029"/>
    <w:rsid w:val="00C65FEA"/>
    <w:rsid w:val="00C7796A"/>
    <w:rsid w:val="00CA0AC2"/>
    <w:rsid w:val="00CB4D0A"/>
    <w:rsid w:val="00CC2FB3"/>
    <w:rsid w:val="00CC34D9"/>
    <w:rsid w:val="00CC575A"/>
    <w:rsid w:val="00CD31A9"/>
    <w:rsid w:val="00CF123B"/>
    <w:rsid w:val="00D039AC"/>
    <w:rsid w:val="00D427DE"/>
    <w:rsid w:val="00D516B9"/>
    <w:rsid w:val="00D52DBD"/>
    <w:rsid w:val="00D5587D"/>
    <w:rsid w:val="00D707CC"/>
    <w:rsid w:val="00D821FE"/>
    <w:rsid w:val="00DB0793"/>
    <w:rsid w:val="00DD67D3"/>
    <w:rsid w:val="00DE77F4"/>
    <w:rsid w:val="00DF6070"/>
    <w:rsid w:val="00E00821"/>
    <w:rsid w:val="00E04DB4"/>
    <w:rsid w:val="00E069ED"/>
    <w:rsid w:val="00E23B94"/>
    <w:rsid w:val="00E30679"/>
    <w:rsid w:val="00E4597D"/>
    <w:rsid w:val="00E54832"/>
    <w:rsid w:val="00E56A90"/>
    <w:rsid w:val="00E641CC"/>
    <w:rsid w:val="00EA30AB"/>
    <w:rsid w:val="00EB3925"/>
    <w:rsid w:val="00EB3DC0"/>
    <w:rsid w:val="00EC05C2"/>
    <w:rsid w:val="00F45789"/>
    <w:rsid w:val="00F90B72"/>
    <w:rsid w:val="00F92D4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01423A-9D2F-464F-8236-8E97D6631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87EB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90107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4B31C-3565-467A-AA18-872AC8E80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3</Pages>
  <Words>892</Words>
  <Characters>5085</Characters>
  <Application>Microsoft Office Word</Application>
  <DocSecurity>0</DocSecurity>
  <Lines>42</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Bosanacova, Lana</cp:lastModifiedBy>
  <cp:revision>10</cp:revision>
  <dcterms:created xsi:type="dcterms:W3CDTF">2020-05-03T15:20:00Z</dcterms:created>
  <dcterms:modified xsi:type="dcterms:W3CDTF">2020-05-19T16:03:00Z</dcterms:modified>
</cp:coreProperties>
</file>