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100"/>
        <w:rPr>
          <w:rFonts w:ascii="Calibri" w:hAnsi="Calibri"/>
        </w:rPr>
      </w:pPr>
      <w:r>
        <w:rPr>
          <w:rFonts w:ascii="Calibri" w:hAnsi="Calibri"/>
          <w:noProof/>
        </w:rPr>
        <w:drawing>
          <wp:anchor distT="0" distB="0" distL="0" distR="0" simplePos="false" relativeHeight="2" behindDoc="false" locked="false" layoutInCell="true" allowOverlap="true">
            <wp:simplePos x="0" y="0"/>
            <wp:positionH relativeFrom="column">
              <wp:posOffset>-342900</wp:posOffset>
            </wp:positionH>
            <wp:positionV relativeFrom="paragraph">
              <wp:posOffset>-295275</wp:posOffset>
            </wp:positionV>
            <wp:extent cx="2809875" cy="1419225"/>
            <wp:effectExtent l="0" t="0" r="0" b="0"/>
            <wp:wrapNone/>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20320" t="20000" r="23669" b="32001"/>
                    <a:stretch/>
                  </pic:blipFill>
                  <pic:spPr>
                    <a:xfrm rot="0">
                      <a:off x="0" y="0"/>
                      <a:ext cx="2809875" cy="1419225"/>
                    </a:xfrm>
                    <a:prstGeom prst="rect"/>
                    <a:ln cmpd="sng" cap="flat" w="9525">
                      <a:solidFill>
                        <a:srgbClr val="000000"/>
                      </a:solidFill>
                      <a:prstDash val="solid"/>
                      <a:miter/>
                      <a:headEnd len="med" type="none" w="med"/>
                      <a:tailEnd len="med" type="none" w="med"/>
                    </a:ln>
                  </pic:spPr>
                </pic:pic>
              </a:graphicData>
            </a:graphic>
          </wp:anchor>
        </w:drawing>
      </w:r>
      <w:r>
        <w:rPr>
          <w:rFonts w:ascii="Calibri" w:hAnsi="Calibri"/>
        </w:rPr>
        <w:t xml:space="preserve">                                                             </w:t>
      </w:r>
      <w:r>
        <w:rPr>
          <w:rFonts w:ascii="Calibri" w:hAnsi="Calibri"/>
        </w:rPr>
        <w:t xml:space="preserve">     </w:t>
      </w:r>
    </w:p>
    <w:p>
      <w:pPr>
        <w:pStyle w:val="style0"/>
        <w:rPr>
          <w:lang w:val="en-US"/>
        </w:rPr>
      </w:pPr>
      <w:r>
        <w:rPr>
          <w:noProof/>
          <w:lang w:val="en-US" w:eastAsia="zh-TW"/>
        </w:rPr>
        <w:pict>
          <v:shapetype id="_x0000_t202" coordsize="21600,21600" o:spt="202" path="m,l,21600r21600,l21600,xe">
            <v:stroke joinstyle="miter"/>
            <v:path gradientshapeok="t" o:connecttype="rect"/>
          </v:shapetype>
          <v:shape id="1028" type="#_x0000_t202" stroked="f" style="position:absolute;margin-left:227.55pt;margin-top:7.85pt;width:245.2pt;height:36.75pt;z-index:3;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0"/>
                    <w:jc w:val="center"/>
                    <w:rPr>
                      <w:b/>
                      <w:bCs/>
                      <w:color w:val="002060"/>
                      <w:sz w:val="44"/>
                      <w:szCs w:val="40"/>
                    </w:rPr>
                  </w:pPr>
                  <w:r>
                    <w:rPr>
                      <w:sz w:val="24"/>
                    </w:rPr>
                    <w:t xml:space="preserve">   </w:t>
                  </w:r>
                  <w:r>
                    <w:rPr>
                      <w:b/>
                      <w:bCs/>
                      <w:color w:val="002060"/>
                      <w:sz w:val="44"/>
                      <w:szCs w:val="40"/>
                    </w:rPr>
                    <w:t>Assignment Cover Sheet</w:t>
                  </w:r>
                </w:p>
                <w:p>
                  <w:pPr>
                    <w:pStyle w:val="style0"/>
                    <w:rPr/>
                  </w:pPr>
                </w:p>
              </w:txbxContent>
            </v:textbox>
          </v:shape>
        </w:pict>
      </w:r>
    </w:p>
    <w:p>
      <w:pPr>
        <w:pStyle w:val="style0"/>
        <w:rPr>
          <w:lang w:val="en-US"/>
        </w:rPr>
      </w:pPr>
    </w:p>
    <w:p>
      <w:pPr>
        <w:pStyle w:val="style0"/>
        <w:rPr>
          <w:lang w:val="en-US"/>
        </w:rPr>
      </w:pPr>
    </w:p>
    <w:p>
      <w:pPr>
        <w:pStyle w:val="style0"/>
        <w:rPr>
          <w:lang w:val="en-US"/>
        </w:rPr>
      </w:pPr>
    </w:p>
    <w:tbl>
      <w:tblPr>
        <w:tblStyle w:val="style154"/>
        <w:tblW w:w="0" w:type="auto"/>
        <w:tblLook w:val="04A0" w:firstRow="1" w:lastRow="0" w:firstColumn="1" w:lastColumn="0" w:noHBand="0" w:noVBand="1"/>
      </w:tblPr>
      <w:tblGrid>
        <w:gridCol w:w="2566"/>
        <w:gridCol w:w="6676"/>
      </w:tblGrid>
      <w:tr>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pPr>
              <w:pStyle w:val="style4100"/>
              <w:rPr>
                <w:rFonts w:ascii="Calibri" w:hAnsi="Calibri"/>
              </w:rPr>
            </w:pPr>
            <w:r>
              <w:rPr>
                <w:rFonts w:ascii="Calibri" w:hAnsi="Calibri"/>
              </w:rPr>
              <w:t>Effah Eugene Tannor</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pPr>
              <w:pStyle w:val="style4100"/>
              <w:rPr>
                <w:rFonts w:ascii="Calibri" w:hAnsi="Calibri"/>
              </w:rPr>
            </w:pPr>
            <w:r>
              <w:rPr>
                <w:rFonts w:ascii="Calibri" w:hAnsi="Calibri"/>
              </w:rPr>
              <w:t>2312</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pPr>
              <w:pStyle w:val="style4100"/>
              <w:rPr>
                <w:rFonts w:ascii="Calibri" w:hAnsi="Calibri"/>
              </w:rPr>
            </w:pPr>
            <w:r>
              <w:rPr>
                <w:rFonts w:ascii="Calibri" w:hAnsi="Calibri"/>
              </w:rPr>
              <w:t>Diploma In Forensic Accounting (Level 4)</w:t>
            </w:r>
          </w:p>
        </w:tc>
      </w:tr>
      <w:tr>
        <w:tblPrEx/>
        <w:trPr/>
        <w:tc>
          <w:tcPr>
            <w:tcW w:w="2566" w:type="dxa"/>
            <w:tcBorders>
              <w:top w:val="single" w:sz="4" w:space="0" w:color="auto"/>
              <w:left w:val="single" w:sz="4" w:space="0" w:color="auto"/>
              <w:bottom w:val="single" w:sz="4" w:space="0" w:color="auto"/>
              <w:right w:val="single" w:sz="4" w:space="0" w:color="auto"/>
            </w:tcBorders>
            <w:shd w:val="clear" w:color="auto" w:fill="d9d9d9"/>
            <w:hideMark/>
          </w:tcPr>
          <w:p>
            <w:pPr>
              <w:pStyle w:val="style0"/>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pPr>
              <w:pStyle w:val="style0"/>
              <w:rPr/>
            </w:pPr>
            <w:r>
              <w:t>Six (6)</w:t>
            </w:r>
          </w:p>
        </w:tc>
      </w:tr>
    </w:tbl>
    <w:p>
      <w:pPr>
        <w:pStyle w:val="style0"/>
        <w:rPr>
          <w:b/>
          <w:lang w:val="en-US"/>
        </w:rPr>
      </w:pPr>
    </w:p>
    <w:p>
      <w:pPr>
        <w:pStyle w:val="style0"/>
        <w:rPr>
          <w:b/>
          <w:sz w:val="28"/>
          <w:lang w:val="en-US"/>
        </w:rPr>
      </w:pPr>
      <w:r>
        <w:rPr>
          <w:b/>
          <w:sz w:val="28"/>
          <w:lang w:val="en-US"/>
        </w:rPr>
        <w:t>Marking Criteria:</w:t>
      </w:r>
      <w:bookmarkStart w:id="0" w:name="_GoBack"/>
      <w:bookmarkEnd w:id="0"/>
    </w:p>
    <w:p>
      <w:pPr>
        <w:pStyle w:val="style0"/>
        <w:rPr>
          <w:lang w:val="en-US"/>
        </w:rPr>
      </w:pPr>
      <w:r>
        <w:rPr>
          <w:b/>
          <w:lang w:val="en-US"/>
        </w:rPr>
        <w:t xml:space="preserve"> </w:t>
      </w:r>
      <w:r>
        <w:rPr>
          <w:lang w:val="en-US"/>
        </w:rPr>
        <w:t>We expect the learner</w:t>
      </w:r>
      <w:r>
        <w:rPr>
          <w:lang w:val="en-US"/>
        </w:rPr>
        <w:t>s</w:t>
      </w:r>
      <w:r>
        <w:rPr>
          <w:lang w:val="en-US"/>
        </w:rPr>
        <w:t xml:space="preserve"> to write minimum one well expressed point in</w:t>
      </w:r>
      <w:r>
        <w:rPr>
          <w:lang w:val="en-US"/>
        </w:rPr>
        <w:t xml:space="preserve"> </w:t>
      </w:r>
      <w:r>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pPr>
        <w:pStyle w:val="style0"/>
        <w:rPr>
          <w:lang w:val="en-US"/>
        </w:rPr>
      </w:pPr>
      <w:r>
        <w:rPr>
          <w:lang w:val="en-US"/>
        </w:rPr>
        <w:t xml:space="preserve">For high grades use </w:t>
      </w:r>
      <w:r>
        <w:rPr>
          <w:lang w:val="en-US"/>
        </w:rPr>
        <w:t xml:space="preserve">examples and illustrations </w:t>
      </w:r>
      <w:r>
        <w:rPr>
          <w:lang w:val="en-US"/>
        </w:rPr>
        <w:t>where appropriate</w:t>
      </w:r>
      <w:r>
        <w:rPr>
          <w:lang w:val="en-US"/>
        </w:rPr>
        <w:t>.</w:t>
      </w:r>
      <w:r>
        <w:rPr>
          <w:lang w:val="en-US"/>
        </w:rPr>
        <w:t xml:space="preserve"> </w:t>
      </w:r>
    </w:p>
    <w:tbl>
      <w:tblPr>
        <w:tblStyle w:val="style154"/>
        <w:tblW w:w="0" w:type="auto"/>
        <w:tblLook w:val="04A0" w:firstRow="1" w:lastRow="0" w:firstColumn="1" w:lastColumn="0" w:noHBand="0" w:noVBand="1"/>
      </w:tblPr>
      <w:tblGrid>
        <w:gridCol w:w="9242"/>
      </w:tblGrid>
      <w:tr>
        <w:trPr/>
        <w:tc>
          <w:tcPr>
            <w:tcW w:w="9242" w:type="dxa"/>
            <w:tcBorders/>
          </w:tcPr>
          <w:p>
            <w:pPr>
              <w:pStyle w:val="style0"/>
              <w:rPr>
                <w:rFonts w:ascii="Arial" w:cs="Arial" w:hAnsi="Arial"/>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sz w:val="24"/>
                <w:szCs w:val="24"/>
              </w:rPr>
              <w:t>1.</w:t>
            </w:r>
          </w:p>
          <w:p>
            <w:pPr>
              <w:pStyle w:val="style0"/>
              <w:numPr>
                <w:ilvl w:val="0"/>
                <w:numId w:val="1"/>
              </w:numPr>
              <w:autoSpaceDE w:val="false"/>
              <w:autoSpaceDN w:val="false"/>
              <w:adjustRightInd w:val="false"/>
              <w:spacing w:lineRule="auto" w:line="360"/>
              <w:jc w:val="both"/>
              <w:contextualSpacing/>
              <w:rPr>
                <w:rFonts w:ascii="Times New Roman" w:cs="Times New Roman" w:hAnsi="Times New Roman"/>
                <w:sz w:val="24"/>
                <w:szCs w:val="24"/>
              </w:rPr>
            </w:pPr>
            <w:r>
              <w:rPr>
                <w:rFonts w:ascii="Times New Roman" w:cs="Times New Roman" w:hAnsi="Times New Roman"/>
                <w:sz w:val="24"/>
                <w:szCs w:val="24"/>
              </w:rPr>
              <w:t>Evidences are the facts or observations presented in support of an assertion or anything admitted by a court of competent jurisdiction to prove or disprove an allegation of fact.  Best Evidence therefore means that all evidence collected and submitted must be original. All cases require best evidence to be submitted. In the event of original evidence being unavailable, investigators should clarify the reasons for its unavailability and prove the accuracy of the copy that is being submitted. Although there may be some exceptions to this rule, it is generally considered inflexible.</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numPr>
                <w:ilvl w:val="0"/>
                <w:numId w:val="1"/>
              </w:numPr>
              <w:autoSpaceDE w:val="false"/>
              <w:autoSpaceDN w:val="false"/>
              <w:adjustRightInd w:val="false"/>
              <w:spacing w:lineRule="auto" w:line="360"/>
              <w:jc w:val="both"/>
              <w:contextualSpacing/>
              <w:rPr>
                <w:rFonts w:ascii="Times New Roman" w:cs="Times New Roman" w:hAnsi="Times New Roman"/>
                <w:sz w:val="24"/>
                <w:szCs w:val="24"/>
              </w:rPr>
            </w:pPr>
            <w:r>
              <w:rPr>
                <w:rFonts w:ascii="Times New Roman" w:cs="Times New Roman" w:hAnsi="Times New Roman"/>
                <w:sz w:val="24"/>
                <w:szCs w:val="24"/>
              </w:rPr>
              <w:t>Forensic accountants create documents during the course of the investigation in addition to the documentary evidence that already exists in the form of transactions, receipts, etc. These documents can be regarded as evidence and can be presented to the court or to the regulators in charge of regulating matters associated with the investigation. Just like other evidence, such as business records, these documents should also be preserved and maintained properly.</w:t>
            </w:r>
          </w:p>
          <w:p>
            <w:pPr>
              <w:pStyle w:val="style0"/>
              <w:autoSpaceDE w:val="false"/>
              <w:autoSpaceDN w:val="false"/>
              <w:adjustRightInd w:val="false"/>
              <w:spacing w:lineRule="auto" w:line="360"/>
              <w:ind w:left="1080"/>
              <w:jc w:val="both"/>
              <w:rPr>
                <w:rFonts w:ascii="Times New Roman" w:cs="Times New Roman" w:hAnsi="Times New Roman"/>
                <w:sz w:val="24"/>
                <w:szCs w:val="24"/>
              </w:rPr>
            </w:pPr>
            <w:r>
              <w:rPr>
                <w:rFonts w:ascii="Times New Roman" w:cs="Times New Roman" w:hAnsi="Times New Roman"/>
                <w:sz w:val="24"/>
                <w:szCs w:val="24"/>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bCs/>
                <w:sz w:val="24"/>
                <w:szCs w:val="24"/>
              </w:rPr>
            </w:pPr>
            <w:r>
              <w:rPr>
                <w:rFonts w:ascii="Times New Roman" w:cs="Times New Roman" w:hAnsi="Times New Roman"/>
                <w:sz w:val="24"/>
                <w:szCs w:val="24"/>
              </w:rPr>
              <w:t>(iii)</w:t>
            </w:r>
            <w:r>
              <w:rPr>
                <w:rFonts w:ascii="Times New Roman" w:cs="Times New Roman" w:hAnsi="Times New Roman"/>
                <w:b/>
                <w:bCs/>
                <w:sz w:val="24"/>
                <w:szCs w:val="24"/>
              </w:rPr>
              <w:t xml:space="preserve"> </w:t>
            </w:r>
            <w:r>
              <w:rPr>
                <w:rFonts w:ascii="Times New Roman" w:cs="Times New Roman" w:hAnsi="Times New Roman"/>
                <w:b/>
                <w:bCs/>
                <w:sz w:val="24"/>
                <w:szCs w:val="24"/>
              </w:rPr>
              <w:tab/>
            </w:r>
            <w:r>
              <w:rPr>
                <w:rFonts w:ascii="Times New Roman" w:cs="Times New Roman" w:hAnsi="Times New Roman"/>
                <w:bCs/>
                <w:sz w:val="24"/>
                <w:szCs w:val="24"/>
              </w:rPr>
              <w:t>The devices that could help in collecting evidence are as follows: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Personal computers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Network servers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Wireless and cordless telephones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Cs/>
                <w:sz w:val="24"/>
                <w:szCs w:val="24"/>
              </w:rPr>
              <w:t>Personal Digital Assistants (</w:t>
            </w:r>
            <w:r>
              <w:rPr>
                <w:rFonts w:ascii="Times New Roman" w:cs="Times New Roman" w:hAnsi="Times New Roman"/>
                <w:sz w:val="24"/>
                <w:szCs w:val="24"/>
              </w:rPr>
              <w:t>PDAs) and BlackBerry devices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Answering machines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Paging devices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Caller ID devices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Digital cameras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Facsimile machines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Printers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Scanners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ID card printers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Copiers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Compact disc duplicators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Smart cards/magnetic stripe cards</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Security systems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Global positioning systems (GPS)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Electronic gaming devices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Vehicle computer devices</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Storage media</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ind w:left="720" w:hanging="720"/>
              <w:jc w:val="both"/>
              <w:rPr>
                <w:rFonts w:ascii="Times New Roman" w:cs="Times New Roman" w:hAnsi="Times New Roman"/>
                <w:sz w:val="24"/>
                <w:szCs w:val="24"/>
              </w:rPr>
            </w:pPr>
            <w:r>
              <w:rPr>
                <w:rFonts w:ascii="Times New Roman" w:cs="Times New Roman" w:hAnsi="Times New Roman"/>
                <w:sz w:val="24"/>
                <w:szCs w:val="24"/>
              </w:rPr>
              <w:t>(iv) The points that should be considered during the planning process consist of the following:</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Reviewing the client’s policies on record retention and ensuring compliance.</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Visiting storage locations for paper records off and on site.</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Reviewing the technology used for transaction records, such as customer and vendor       invoices, contracts, etc.</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Ensuring the existence and storage of employee files.</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Checking whether there are any files at the employees’ homes or in their personal computers.</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Checking the file retention practices at various corporate locations, as they may differ   significantly from one location to another.</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Analyzing the organizational hierarchy and knowing who reports to whom.</w:t>
            </w:r>
          </w:p>
          <w:p>
            <w:pPr>
              <w:pStyle w:val="style0"/>
              <w:autoSpaceDE w:val="false"/>
              <w:autoSpaceDN w:val="false"/>
              <w:adjustRightInd w:val="false"/>
              <w:spacing w:lineRule="auto" w:line="360"/>
              <w:ind w:firstLine="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Checking the medium of storage for computerized records on and off site.</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Reviewing the company’s back-up procedures that are used for employees’ computers and emails, knowing when back-ups occur, how much information is lost and how much is retained, and which information is retained on servers and which on individual hard drives.</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Checking whether any records are retained by or about former employees of the organization.</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Analyzing system changes that have occurred in the company’s accounting systems or e-mail systems.</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Reviewing documents related to corporate functions that have been outsourced, such as payroll and internal audit.</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sz w:val="24"/>
                <w:szCs w:val="24"/>
              </w:rPr>
              <w:t>Creating a written plan for the collection of documents in order to give the investigation a clear direction and focus.</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(v)  A forensic accountant produces summaries and analyses of factual material, which are usually the basis of testimony in cases of litigation to recover losses if shareholders commence litigation against the enterprise, i.e. class-action lawsuits, or if the forensic accountant is required by law to produce them before regulatory authorities.</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 xml:space="preserve">The kind of material and documents included in the working papers differs from one investigation to another, depending on the nature of the investigation. </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The following is a list of typical documents that consist of a Forensic Accountant’s working papers:</w:t>
            </w:r>
          </w:p>
          <w:p>
            <w:pPr>
              <w:pStyle w:val="style0"/>
              <w:autoSpaceDE w:val="false"/>
              <w:autoSpaceDN w:val="false"/>
              <w:adjustRightInd w:val="false"/>
              <w:spacing w:lineRule="auto" w:line="360"/>
              <w:jc w:val="both"/>
              <w:rPr>
                <w:rFonts w:ascii="Times New Roman" w:cs="Times New Roman" w:hAnsi="Times New Roman"/>
                <w:b/>
                <w:bCs/>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
                <w:iCs/>
                <w:sz w:val="24"/>
                <w:szCs w:val="24"/>
              </w:rPr>
              <w:t>Accounting records and other documents:</w:t>
            </w:r>
            <w:r>
              <w:rPr>
                <w:rFonts w:ascii="Times New Roman" w:cs="Times New Roman" w:hAnsi="Times New Roman"/>
                <w:i/>
                <w:iCs/>
                <w:sz w:val="24"/>
                <w:szCs w:val="24"/>
              </w:rPr>
              <w:t xml:space="preserve"> </w:t>
            </w:r>
            <w:r>
              <w:rPr>
                <w:rFonts w:ascii="Times New Roman" w:cs="Times New Roman" w:hAnsi="Times New Roman"/>
                <w:sz w:val="24"/>
                <w:szCs w:val="24"/>
              </w:rPr>
              <w:t xml:space="preserve">This category includes all possible accounting records such as general ledgers, sub-ledgers, financial management reports, reconciliations, </w:t>
            </w:r>
            <w:r>
              <w:rPr>
                <w:rFonts w:ascii="Times New Roman" w:cs="Times New Roman" w:hAnsi="Times New Roman"/>
                <w:sz w:val="24"/>
                <w:szCs w:val="24"/>
              </w:rPr>
              <w:t>journal entries, internal audit reports, purchase orders, vendor information, accounting journals, management reports, contracts, telephone, computer system and security system records, desk files, e-mails, websites, and any other accounting record or document.</w:t>
            </w:r>
          </w:p>
          <w:p>
            <w:pPr>
              <w:pStyle w:val="style0"/>
              <w:autoSpaceDE w:val="false"/>
              <w:autoSpaceDN w:val="false"/>
              <w:adjustRightInd w:val="false"/>
              <w:spacing w:lineRule="auto" w:line="360"/>
              <w:jc w:val="both"/>
              <w:rPr>
                <w:rFonts w:ascii="Times New Roman" w:cs="Times New Roman" w:hAnsi="Times New Roman"/>
                <w:b/>
                <w:bCs/>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
                <w:iCs/>
                <w:sz w:val="24"/>
                <w:szCs w:val="24"/>
              </w:rPr>
              <w:t>Public record searches</w:t>
            </w:r>
            <w:r>
              <w:rPr>
                <w:rFonts w:ascii="Times New Roman" w:cs="Times New Roman" w:hAnsi="Times New Roman"/>
                <w:iCs/>
                <w:sz w:val="24"/>
                <w:szCs w:val="24"/>
              </w:rPr>
              <w:t>:</w:t>
            </w:r>
            <w:r>
              <w:rPr>
                <w:rFonts w:ascii="Times New Roman" w:cs="Times New Roman" w:hAnsi="Times New Roman"/>
                <w:i/>
                <w:iCs/>
                <w:sz w:val="24"/>
                <w:szCs w:val="24"/>
              </w:rPr>
              <w:t xml:space="preserve"> </w:t>
            </w:r>
            <w:r>
              <w:rPr>
                <w:rFonts w:ascii="Times New Roman" w:cs="Times New Roman" w:hAnsi="Times New Roman"/>
                <w:sz w:val="24"/>
                <w:szCs w:val="24"/>
              </w:rPr>
              <w:t>The information gathered through public record searches can be diverse and may include newspaper articles, hobbies and interests, investments, philanthropic work, online chat room discussions, etc.</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iCs/>
                <w:sz w:val="24"/>
                <w:szCs w:val="24"/>
              </w:rPr>
              <w:t>Electronic computer files</w:t>
            </w:r>
            <w:r>
              <w:rPr>
                <w:rFonts w:ascii="Times New Roman" w:cs="Times New Roman" w:hAnsi="Times New Roman"/>
                <w:i/>
                <w:iCs/>
                <w:sz w:val="24"/>
                <w:szCs w:val="24"/>
              </w:rPr>
              <w:t xml:space="preserve">. </w:t>
            </w:r>
            <w:r>
              <w:rPr>
                <w:rFonts w:ascii="Times New Roman" w:cs="Times New Roman" w:hAnsi="Times New Roman"/>
                <w:sz w:val="24"/>
                <w:szCs w:val="24"/>
              </w:rPr>
              <w:t>These include e-mails (forwarded e-mails, senders, recipients, etc.), computer files, any data stored in handheld digital recorders, etc.</w:t>
            </w:r>
          </w:p>
          <w:p>
            <w:pPr>
              <w:pStyle w:val="style0"/>
              <w:autoSpaceDE w:val="false"/>
              <w:autoSpaceDN w:val="false"/>
              <w:adjustRightInd w:val="false"/>
              <w:spacing w:lineRule="auto" w:line="360"/>
              <w:jc w:val="both"/>
              <w:rPr>
                <w:rFonts w:ascii="Times New Roman" w:cs="Times New Roman" w:hAnsi="Times New Roman"/>
                <w:iCs/>
                <w:sz w:val="24"/>
                <w:szCs w:val="24"/>
              </w:rPr>
            </w:pPr>
            <w:r>
              <w:rPr>
                <w:rFonts w:ascii="Times New Roman" w:cs="Times New Roman" w:hAnsi="Times New Roman"/>
                <w:b/>
                <w:bCs/>
                <w:sz w:val="24"/>
                <w:szCs w:val="24"/>
              </w:rPr>
              <w:t xml:space="preserve">• </w:t>
            </w:r>
            <w:r>
              <w:rPr>
                <w:rFonts w:ascii="Times New Roman" w:cs="Times New Roman" w:hAnsi="Times New Roman"/>
                <w:iCs/>
                <w:sz w:val="24"/>
                <w:szCs w:val="24"/>
              </w:rPr>
              <w:t>Photographs or digital photos, preferably with a date/time stamp.</w:t>
            </w:r>
          </w:p>
          <w:p>
            <w:pPr>
              <w:pStyle w:val="style0"/>
              <w:autoSpaceDE w:val="false"/>
              <w:autoSpaceDN w:val="false"/>
              <w:adjustRightInd w:val="false"/>
              <w:spacing w:lineRule="auto" w:line="360"/>
              <w:jc w:val="both"/>
              <w:rPr>
                <w:rFonts w:ascii="Times New Roman" w:cs="Times New Roman" w:hAnsi="Times New Roman"/>
                <w:iCs/>
                <w:sz w:val="24"/>
                <w:szCs w:val="24"/>
              </w:rPr>
            </w:pPr>
            <w:r>
              <w:rPr>
                <w:rFonts w:ascii="Times New Roman" w:cs="Times New Roman" w:hAnsi="Times New Roman"/>
                <w:b/>
                <w:bCs/>
                <w:sz w:val="24"/>
                <w:szCs w:val="24"/>
              </w:rPr>
              <w:t xml:space="preserve">• </w:t>
            </w:r>
            <w:r>
              <w:rPr>
                <w:rFonts w:ascii="Times New Roman" w:cs="Times New Roman" w:hAnsi="Times New Roman"/>
                <w:iCs/>
                <w:sz w:val="24"/>
                <w:szCs w:val="24"/>
              </w:rPr>
              <w:t>Documentation specifying chain of custody.</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iCs/>
                <w:sz w:val="24"/>
                <w:szCs w:val="24"/>
              </w:rPr>
              <w:t xml:space="preserve">Interview notes and audio recordings. </w:t>
            </w:r>
            <w:r>
              <w:rPr>
                <w:rFonts w:ascii="Times New Roman" w:cs="Times New Roman" w:hAnsi="Times New Roman"/>
                <w:sz w:val="24"/>
                <w:szCs w:val="24"/>
              </w:rPr>
              <w:t>These are notes taken by the investigation team during interviews conducted with witnesses, suspects and other personnel.</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iCs/>
                <w:sz w:val="24"/>
                <w:szCs w:val="24"/>
              </w:rPr>
              <w:t xml:space="preserve">Third-party information. </w:t>
            </w:r>
            <w:r>
              <w:rPr>
                <w:rFonts w:ascii="Times New Roman" w:cs="Times New Roman" w:hAnsi="Times New Roman"/>
                <w:sz w:val="24"/>
                <w:szCs w:val="24"/>
              </w:rPr>
              <w:t xml:space="preserve">This is information or data provided by interested third parties such as counsel, external auditors, etc. This information may be in the form of audit reports, management letters, bank statements, cancelled </w:t>
            </w:r>
            <w:r>
              <w:rPr>
                <w:rFonts w:ascii="Times New Roman" w:cs="Times New Roman" w:hAnsi="Times New Roman"/>
                <w:sz w:val="24"/>
                <w:szCs w:val="24"/>
              </w:rPr>
              <w:t>cheques</w:t>
            </w:r>
            <w:r>
              <w:rPr>
                <w:rFonts w:ascii="Times New Roman" w:cs="Times New Roman" w:hAnsi="Times New Roman"/>
                <w:sz w:val="24"/>
                <w:szCs w:val="24"/>
              </w:rPr>
              <w:t>, bank advice, or any other banking documents, records related to non-audit services, documents acquired through warrants or subpoenas, etc.</w:t>
            </w:r>
          </w:p>
          <w:p>
            <w:pPr>
              <w:pStyle w:val="style0"/>
              <w:autoSpaceDE w:val="false"/>
              <w:autoSpaceDN w:val="false"/>
              <w:adjustRightInd w:val="false"/>
              <w:spacing w:lineRule="auto" w:line="360"/>
              <w:jc w:val="both"/>
              <w:rPr>
                <w:rFonts w:ascii="Times New Roman" w:cs="Times New Roman" w:hAnsi="Times New Roman"/>
                <w:iCs/>
                <w:sz w:val="24"/>
                <w:szCs w:val="24"/>
              </w:rPr>
            </w:pPr>
            <w:r>
              <w:rPr>
                <w:rFonts w:ascii="Times New Roman" w:cs="Times New Roman" w:hAnsi="Times New Roman"/>
                <w:b/>
                <w:bCs/>
                <w:sz w:val="24"/>
                <w:szCs w:val="24"/>
              </w:rPr>
              <w:t xml:space="preserve">• </w:t>
            </w:r>
            <w:r>
              <w:rPr>
                <w:rFonts w:ascii="Times New Roman" w:cs="Times New Roman" w:hAnsi="Times New Roman"/>
                <w:iCs/>
                <w:sz w:val="24"/>
                <w:szCs w:val="24"/>
              </w:rPr>
              <w:t>Court pleadings and deposition transcripts.</w:t>
            </w:r>
          </w:p>
          <w:p>
            <w:pPr>
              <w:pStyle w:val="style0"/>
              <w:autoSpaceDE w:val="false"/>
              <w:autoSpaceDN w:val="false"/>
              <w:adjustRightInd w:val="false"/>
              <w:spacing w:lineRule="auto" w:line="360"/>
              <w:jc w:val="both"/>
              <w:rPr>
                <w:rFonts w:ascii="Times New Roman" w:cs="Times New Roman" w:hAnsi="Times New Roman"/>
                <w:iCs/>
                <w:sz w:val="24"/>
                <w:szCs w:val="24"/>
              </w:rPr>
            </w:pPr>
          </w:p>
          <w:p>
            <w:pPr>
              <w:pStyle w:val="style0"/>
              <w:autoSpaceDE w:val="false"/>
              <w:autoSpaceDN w:val="false"/>
              <w:adjustRightInd w:val="false"/>
              <w:spacing w:lineRule="auto" w:line="360"/>
              <w:jc w:val="both"/>
              <w:rPr>
                <w:rFonts w:ascii="Times New Roman" w:cs="Times New Roman" w:hAnsi="Times New Roman"/>
                <w:i/>
                <w:iCs/>
                <w:sz w:val="24"/>
                <w:szCs w:val="24"/>
              </w:rPr>
            </w:pPr>
          </w:p>
          <w:p>
            <w:pPr>
              <w:pStyle w:val="style0"/>
              <w:autoSpaceDE w:val="false"/>
              <w:autoSpaceDN w:val="false"/>
              <w:adjustRightInd w:val="false"/>
              <w:spacing w:lineRule="auto" w:line="360"/>
              <w:jc w:val="both"/>
              <w:rPr>
                <w:rFonts w:ascii="Times New Roman" w:cs="Times New Roman" w:hAnsi="Times New Roman"/>
                <w:iCs/>
                <w:sz w:val="24"/>
                <w:szCs w:val="24"/>
              </w:rPr>
            </w:pPr>
            <w:r>
              <w:rPr>
                <w:rFonts w:ascii="Times New Roman" w:cs="Times New Roman" w:hAnsi="Times New Roman"/>
                <w:iCs/>
                <w:sz w:val="24"/>
                <w:szCs w:val="24"/>
              </w:rPr>
              <w:t>(vi) The main steps involved in the evidence gathering process are as follows;</w:t>
            </w:r>
          </w:p>
          <w:p>
            <w:pPr>
              <w:pStyle w:val="style0"/>
              <w:autoSpaceDE w:val="false"/>
              <w:autoSpaceDN w:val="false"/>
              <w:adjustRightInd w:val="false"/>
              <w:spacing w:lineRule="auto" w:line="360"/>
              <w:jc w:val="both"/>
              <w:rPr>
                <w:rFonts w:ascii="Times New Roman" w:cs="Times New Roman" w:hAnsi="Times New Roman"/>
                <w:bCs/>
                <w:sz w:val="24"/>
                <w:szCs w:val="24"/>
              </w:rPr>
            </w:pPr>
            <w:r>
              <w:rPr>
                <w:rFonts w:ascii="Times New Roman" w:cs="Times New Roman" w:hAnsi="Times New Roman"/>
                <w:iCs/>
                <w:sz w:val="24"/>
                <w:szCs w:val="24"/>
              </w:rPr>
              <w:t xml:space="preserve"> a. </w:t>
            </w:r>
            <w:r>
              <w:rPr>
                <w:rFonts w:ascii="Times New Roman" w:cs="Times New Roman" w:hAnsi="Times New Roman"/>
                <w:b/>
                <w:bCs/>
                <w:sz w:val="24"/>
                <w:szCs w:val="24"/>
              </w:rPr>
              <w:t>Document Retention Considerations</w:t>
            </w:r>
            <w:r>
              <w:rPr>
                <w:rFonts w:ascii="Times New Roman" w:cs="Times New Roman" w:hAnsi="Times New Roman"/>
                <w:bCs/>
                <w:sz w:val="24"/>
                <w:szCs w:val="24"/>
              </w:rPr>
              <w:t xml:space="preserve"> </w:t>
            </w:r>
          </w:p>
          <w:p>
            <w:pPr>
              <w:pStyle w:val="style0"/>
              <w:autoSpaceDE w:val="false"/>
              <w:autoSpaceDN w:val="false"/>
              <w:adjustRightInd w:val="false"/>
              <w:spacing w:lineRule="auto" w:line="360"/>
              <w:ind w:left="720" w:firstLine="60"/>
              <w:jc w:val="both"/>
              <w:rPr>
                <w:rFonts w:ascii="Times New Roman" w:cs="Times New Roman" w:hAnsi="Times New Roman"/>
                <w:iCs/>
                <w:sz w:val="24"/>
                <w:szCs w:val="24"/>
              </w:rPr>
            </w:pPr>
            <w:r>
              <w:rPr>
                <w:rFonts w:ascii="Times New Roman" w:cs="Times New Roman" w:hAnsi="Times New Roman"/>
                <w:bCs/>
                <w:sz w:val="24"/>
                <w:szCs w:val="24"/>
              </w:rPr>
              <w:t xml:space="preserve">In any forensic accounting investigation </w:t>
            </w:r>
            <w:r>
              <w:rPr>
                <w:rFonts w:ascii="Times New Roman" w:cs="Times New Roman" w:hAnsi="Times New Roman"/>
                <w:sz w:val="24"/>
                <w:szCs w:val="24"/>
              </w:rPr>
              <w:t>heavy reliance on documentary proof, document retention and preservation are tasks of the paramount importance.</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It is important to preserve electronic evidence present in the company’s accounting system because during the course of business it is common for transactions to take place, assets to be acquired and sold, accounting systems to be modified, new information to become available, and estimates to be revised. It is better to establish some basic points at the beginning of the investigation.</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bCs/>
                <w:sz w:val="24"/>
                <w:szCs w:val="24"/>
              </w:rPr>
            </w:pPr>
            <w:r>
              <w:rPr>
                <w:rFonts w:ascii="Times New Roman" w:cs="Times New Roman" w:hAnsi="Times New Roman"/>
                <w:bCs/>
                <w:sz w:val="24"/>
                <w:szCs w:val="24"/>
              </w:rPr>
              <w:t xml:space="preserve">b. </w:t>
            </w:r>
            <w:r>
              <w:rPr>
                <w:rFonts w:ascii="Times New Roman" w:cs="Times New Roman" w:hAnsi="Times New Roman"/>
                <w:b/>
                <w:bCs/>
                <w:sz w:val="24"/>
                <w:szCs w:val="24"/>
              </w:rPr>
              <w:t>Planning Considerations</w:t>
            </w:r>
          </w:p>
          <w:p>
            <w:pPr>
              <w:pStyle w:val="style0"/>
              <w:autoSpaceDE w:val="false"/>
              <w:autoSpaceDN w:val="false"/>
              <w:adjustRightInd w:val="false"/>
              <w:spacing w:lineRule="auto" w:line="360"/>
              <w:ind w:left="72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It is usually important to meet up with clients, depending on the nature of the </w:t>
            </w:r>
            <w:r>
              <w:rPr>
                <w:rFonts w:ascii="Times New Roman" w:cs="Times New Roman" w:hAnsi="Times New Roman"/>
                <w:color w:val="000000"/>
                <w:sz w:val="24"/>
                <w:szCs w:val="24"/>
              </w:rPr>
              <w:t>investigation, in order to discuss the type of evidence that may be required and to locate the evidence relating to the time period under scrutiny. As business structures and data processing operations of companies change over time, these meetings held to discuss financial accounting records  become all the more important.</w:t>
            </w:r>
          </w:p>
          <w:p>
            <w:pPr>
              <w:pStyle w:val="style0"/>
              <w:autoSpaceDE w:val="false"/>
              <w:autoSpaceDN w:val="false"/>
              <w:adjustRightInd w:val="false"/>
              <w:spacing w:lineRule="auto" w:line="360"/>
              <w:ind w:left="720"/>
              <w:jc w:val="both"/>
              <w:rPr>
                <w:rFonts w:ascii="Times New Roman" w:cs="Times New Roman" w:hAnsi="Times New Roman"/>
                <w:sz w:val="24"/>
                <w:szCs w:val="24"/>
              </w:rPr>
            </w:pPr>
            <w:r>
              <w:rPr>
                <w:rFonts w:ascii="Times New Roman" w:cs="Times New Roman" w:hAnsi="Times New Roman"/>
                <w:sz w:val="24"/>
                <w:szCs w:val="24"/>
              </w:rPr>
              <w:t>A plan will indicate the scope of the investigation and be a helpful tool to prove that the documents sought were relevant to the investigation. It will also avoid unnecessary hoarding of information, which may include different types of documents, from various witnesses, stored at different locations.</w:t>
            </w:r>
          </w:p>
          <w:p>
            <w:pPr>
              <w:pStyle w:val="style0"/>
              <w:autoSpaceDE w:val="false"/>
              <w:autoSpaceDN w:val="false"/>
              <w:adjustRightInd w:val="false"/>
              <w:spacing w:lineRule="auto" w:line="360"/>
              <w:jc w:val="both"/>
              <w:rPr>
                <w:rFonts w:ascii="Times New Roman" w:cs="Times New Roman" w:hAnsi="Times New Roman"/>
                <w:bCs/>
                <w:sz w:val="24"/>
                <w:szCs w:val="24"/>
              </w:rPr>
            </w:pPr>
            <w:r>
              <w:rPr>
                <w:rFonts w:ascii="Times New Roman" w:cs="Times New Roman" w:hAnsi="Times New Roman"/>
                <w:bCs/>
                <w:sz w:val="24"/>
                <w:szCs w:val="24"/>
              </w:rPr>
              <w:t xml:space="preserve">c. </w:t>
            </w:r>
            <w:r>
              <w:rPr>
                <w:rFonts w:ascii="Times New Roman" w:cs="Times New Roman" w:hAnsi="Times New Roman"/>
                <w:b/>
                <w:bCs/>
                <w:sz w:val="24"/>
                <w:szCs w:val="24"/>
              </w:rPr>
              <w:t>Creating a Chain of Custody</w:t>
            </w:r>
          </w:p>
          <w:p>
            <w:pPr>
              <w:pStyle w:val="style0"/>
              <w:autoSpaceDE w:val="false"/>
              <w:autoSpaceDN w:val="false"/>
              <w:adjustRightInd w:val="false"/>
              <w:spacing w:lineRule="auto" w:line="360"/>
              <w:ind w:left="720"/>
              <w:jc w:val="both"/>
              <w:rPr>
                <w:rFonts w:ascii="Times New Roman" w:cs="Times New Roman" w:hAnsi="Times New Roman"/>
                <w:color w:val="000000"/>
                <w:sz w:val="24"/>
                <w:szCs w:val="24"/>
              </w:rPr>
            </w:pPr>
            <w:r>
              <w:rPr>
                <w:rFonts w:ascii="Times New Roman" w:cs="Times New Roman" w:hAnsi="Times New Roman"/>
                <w:color w:val="000000"/>
                <w:sz w:val="24"/>
                <w:szCs w:val="24"/>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The following gadgets and devices usually contain relevant data:</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Personal computers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Network servers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Wireless and cordless telephones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bCs/>
                <w:color w:val="000000"/>
                <w:sz w:val="24"/>
                <w:szCs w:val="24"/>
              </w:rPr>
              <w:t>Personal Digital Assistants (</w:t>
            </w:r>
            <w:r>
              <w:rPr>
                <w:rFonts w:ascii="Times New Roman" w:cs="Times New Roman" w:hAnsi="Times New Roman"/>
                <w:color w:val="000000"/>
                <w:sz w:val="24"/>
                <w:szCs w:val="24"/>
              </w:rPr>
              <w:t>PDAs) and BlackBerry devices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Answering machines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Paging devices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Caller ID devices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Digital cameras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Facsimile machines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Printers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Scanners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ID card printers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b/>
                <w:bCs/>
                <w:color w:val="000000"/>
                <w:sz w:val="24"/>
                <w:szCs w:val="24"/>
              </w:rPr>
              <w:t xml:space="preserve">• </w:t>
            </w:r>
            <w:r>
              <w:rPr>
                <w:rFonts w:ascii="Times New Roman" w:cs="Times New Roman" w:hAnsi="Times New Roman"/>
                <w:color w:val="000000"/>
                <w:sz w:val="24"/>
                <w:szCs w:val="24"/>
              </w:rPr>
              <w:t>Copiers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(vii) The types of documents gathered in the evidence gathering process and their sources of information are; </w:t>
            </w: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
                <w:iCs/>
                <w:sz w:val="24"/>
                <w:szCs w:val="24"/>
              </w:rPr>
              <w:t>Signed statements:</w:t>
            </w:r>
            <w:r>
              <w:rPr>
                <w:rFonts w:ascii="Times New Roman" w:cs="Times New Roman" w:hAnsi="Times New Roman"/>
                <w:iCs/>
                <w:sz w:val="24"/>
                <w:szCs w:val="24"/>
              </w:rPr>
              <w:t xml:space="preserve"> </w:t>
            </w:r>
            <w:r>
              <w:rPr>
                <w:rFonts w:ascii="Times New Roman" w:cs="Times New Roman" w:hAnsi="Times New Roman"/>
                <w:sz w:val="24"/>
                <w:szCs w:val="24"/>
              </w:rPr>
              <w:t>It is always useful to obtain written and signed statements from witnesses as well as the complainants. Although these statements will not be substitutes for the actual testimonies offered by witnesses in court, they may provide a summary or an outline of what might be expected at their trial testimony.</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
                <w:iCs/>
                <w:sz w:val="24"/>
                <w:szCs w:val="24"/>
              </w:rPr>
              <w:t>Transactional paperwork:</w:t>
            </w:r>
            <w:r>
              <w:rPr>
                <w:rFonts w:ascii="Times New Roman" w:cs="Times New Roman" w:hAnsi="Times New Roman"/>
                <w:iCs/>
                <w:sz w:val="24"/>
                <w:szCs w:val="24"/>
              </w:rPr>
              <w:t xml:space="preserve"> </w:t>
            </w:r>
            <w:r>
              <w:rPr>
                <w:rFonts w:ascii="Times New Roman" w:cs="Times New Roman" w:hAnsi="Times New Roman"/>
                <w:sz w:val="24"/>
                <w:szCs w:val="24"/>
              </w:rPr>
              <w:t>Every business operates in a different manner, and while the basic documents will be generally similar, there will be some differences. This is where pre-planning will be useful for the investigators. Therefore, they must always be on the look-out for any documents or paper trails left by transactions such as invoices, vouchers, original records, etc. that may indicate the flow of money.</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
                <w:iCs/>
                <w:sz w:val="24"/>
                <w:szCs w:val="24"/>
              </w:rPr>
              <w:t xml:space="preserve">Intranet sources: </w:t>
            </w:r>
            <w:r>
              <w:rPr>
                <w:rFonts w:ascii="Times New Roman" w:cs="Times New Roman" w:hAnsi="Times New Roman"/>
                <w:sz w:val="24"/>
                <w:szCs w:val="24"/>
              </w:rPr>
              <w:t>More and more businesses are creating networks connecting their employees and departments. This intranet connection not only increases productivity but also serves as a source of valuable information. Investigators need to examine chat facilities and weblogs where suspects and witnesses are most likely to be found. Although they will find no transactional information there, they will be quite likely to spot unofficial communication of value to the investigation. This communication may include gossip, rumors, and crucial background information related to employees and managers.</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b/>
                <w:bCs/>
                <w:sz w:val="24"/>
                <w:szCs w:val="24"/>
              </w:rPr>
              <w:t xml:space="preserve">• </w:t>
            </w:r>
            <w:r>
              <w:rPr>
                <w:rFonts w:ascii="Times New Roman" w:cs="Times New Roman" w:hAnsi="Times New Roman"/>
                <w:b/>
                <w:iCs/>
                <w:sz w:val="24"/>
                <w:szCs w:val="24"/>
              </w:rPr>
              <w:t>Electronic-mails:</w:t>
            </w:r>
            <w:r>
              <w:rPr>
                <w:rFonts w:ascii="Times New Roman" w:cs="Times New Roman" w:hAnsi="Times New Roman"/>
                <w:sz w:val="24"/>
                <w:szCs w:val="24"/>
              </w:rPr>
              <w:t xml:space="preserve"> E-mails are a very common mode of communication in a business organization, and the investigators might benefit from this when they are looking for evidence. Not everyone is careful about what is sent in an e-mail and to whom. Most messages are saved on the corporate server for a long time, which is helpful for investigators seeking to examine messages sent through emails.</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b/>
                <w:bCs/>
                <w:color w:val="ee7d31"/>
                <w:sz w:val="24"/>
                <w:szCs w:val="24"/>
              </w:rPr>
            </w:pPr>
          </w:p>
          <w:p>
            <w:pPr>
              <w:pStyle w:val="style0"/>
              <w:autoSpaceDE w:val="false"/>
              <w:autoSpaceDN w:val="false"/>
              <w:adjustRightInd w:val="false"/>
              <w:spacing w:lineRule="auto" w:line="360"/>
              <w:jc w:val="both"/>
              <w:rPr>
                <w:rFonts w:ascii="Times New Roman" w:cs="Times New Roman" w:hAnsi="Times New Roman"/>
                <w:b/>
                <w:bCs/>
                <w:color w:val="ee7d31"/>
                <w:sz w:val="24"/>
                <w:szCs w:val="24"/>
              </w:rPr>
            </w:pPr>
          </w:p>
          <w:p>
            <w:pPr>
              <w:pStyle w:val="style0"/>
              <w:autoSpaceDE w:val="false"/>
              <w:autoSpaceDN w:val="false"/>
              <w:adjustRightInd w:val="false"/>
              <w:spacing w:lineRule="auto" w:line="360"/>
              <w:jc w:val="both"/>
              <w:rPr>
                <w:rFonts w:ascii="Times New Roman" w:cs="Times New Roman" w:hAnsi="Times New Roman"/>
                <w:b/>
                <w:bCs/>
                <w:sz w:val="24"/>
                <w:szCs w:val="24"/>
              </w:rPr>
            </w:pPr>
            <w:r>
              <w:rPr>
                <w:rFonts w:ascii="Times New Roman" w:cs="Times New Roman" w:hAnsi="Times New Roman"/>
                <w:b/>
                <w:bCs/>
                <w:sz w:val="24"/>
                <w:szCs w:val="24"/>
              </w:rPr>
              <w:t>Source</w:t>
            </w:r>
            <w:r>
              <w:rPr>
                <w:rFonts w:ascii="Times New Roman" w:cs="Times New Roman" w:hAnsi="Times New Roman"/>
                <w:b/>
                <w:bCs/>
                <w:sz w:val="24"/>
                <w:szCs w:val="24"/>
              </w:rPr>
              <w:t xml:space="preserve"> Documents</w:t>
            </w:r>
          </w:p>
          <w:p>
            <w:pPr>
              <w:pStyle w:val="style0"/>
              <w:autoSpaceDE w:val="false"/>
              <w:autoSpaceDN w:val="false"/>
              <w:adjustRightInd w:val="false"/>
              <w:spacing w:lineRule="auto" w:line="360"/>
              <w:jc w:val="both"/>
              <w:rPr>
                <w:rFonts w:ascii="Times New Roman" w:cs="Times New Roman" w:hAnsi="Times New Roman"/>
                <w:b/>
                <w:bCs/>
                <w:sz w:val="24"/>
                <w:szCs w:val="24"/>
              </w:rPr>
            </w:pP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Documentary evidence may be present in multiple locations, but they can be divided into three broad categories: (i) Whether it is a pensioner swindled out of his/her pension, or a large multinational corporation that has lost millions to a fraud, the victim of the financial crime is the first place where investigators should look; (ii) the next source is the third parties who may have access to or possess documentary evidence; (iii) lastly, the investigators should look for evidence possessed by the suspect.</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p>
          <w:p>
            <w:pPr>
              <w:pStyle w:val="style0"/>
              <w:autoSpaceDE w:val="false"/>
              <w:autoSpaceDN w:val="false"/>
              <w:adjustRightInd w:val="false"/>
              <w:spacing w:lineRule="auto" w:line="360"/>
              <w:jc w:val="both"/>
              <w:rPr>
                <w:rFonts w:ascii="Times New Roman" w:cs="Times New Roman" w:hAnsi="Times New Roman"/>
                <w:color w:val="000000"/>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color w:val="000000"/>
                <w:sz w:val="24"/>
                <w:szCs w:val="24"/>
              </w:rPr>
              <w:t>2.</w:t>
            </w:r>
            <w:r>
              <w:rPr>
                <w:rFonts w:ascii="Times New Roman" w:cs="Times New Roman" w:hAnsi="Times New Roman"/>
                <w:sz w:val="24"/>
                <w:szCs w:val="24"/>
              </w:rPr>
              <w:t xml:space="preserve"> Evidences are the facts or observations presented in support of an assertion or anything admitted by a court of competent jurisdiction to prove or disprove an allegation of fact. </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sz w:val="24"/>
                <w:szCs w:val="24"/>
              </w:rPr>
            </w:pPr>
            <w:r>
              <w:rPr>
                <w:rFonts w:ascii="Times New Roman" w:cs="Times New Roman" w:hAnsi="Times New Roman"/>
                <w:sz w:val="24"/>
                <w:szCs w:val="24"/>
              </w:rPr>
              <w:t>However, some evidences are needed and must be treated with care when gotten hold of in a financial crime investigation process and it includes the following:</w:t>
            </w:r>
          </w:p>
          <w:p>
            <w:pPr>
              <w:pStyle w:val="style0"/>
              <w:autoSpaceDE w:val="false"/>
              <w:autoSpaceDN w:val="false"/>
              <w:adjustRightInd w:val="false"/>
              <w:spacing w:lineRule="auto" w:line="360"/>
              <w:jc w:val="both"/>
              <w:rPr>
                <w:rFonts w:ascii="Times New Roman" w:cs="Times New Roman" w:hAnsi="Times New Roman"/>
                <w:sz w:val="24"/>
                <w:szCs w:val="24"/>
              </w:rPr>
            </w:pPr>
          </w:p>
          <w:p>
            <w:pPr>
              <w:pStyle w:val="style0"/>
              <w:numPr>
                <w:ilvl w:val="0"/>
                <w:numId w:val="3"/>
              </w:numPr>
              <w:autoSpaceDE w:val="false"/>
              <w:autoSpaceDN w:val="false"/>
              <w:adjustRightInd w:val="false"/>
              <w:spacing w:lineRule="auto" w:line="360"/>
              <w:jc w:val="both"/>
              <w:contextualSpacing/>
              <w:rPr>
                <w:rFonts w:ascii="Times New Roman" w:cs="Times New Roman" w:hAnsi="Times New Roman"/>
                <w:color w:val="000000"/>
                <w:sz w:val="24"/>
                <w:szCs w:val="24"/>
              </w:rPr>
            </w:pPr>
            <w:r>
              <w:rPr>
                <w:rFonts w:ascii="Times New Roman" w:cs="Times New Roman" w:hAnsi="Times New Roman"/>
                <w:color w:val="000000"/>
                <w:sz w:val="24"/>
                <w:szCs w:val="24"/>
              </w:rPr>
              <w:t xml:space="preserve"> </w:t>
            </w:r>
            <w:r>
              <w:rPr>
                <w:rFonts w:ascii="Times New Roman" w:cs="Times New Roman" w:hAnsi="Times New Roman"/>
                <w:bCs/>
                <w:sz w:val="24"/>
                <w:szCs w:val="24"/>
              </w:rPr>
              <w:t>Direct evidence</w:t>
            </w:r>
            <w:r>
              <w:rPr>
                <w:rFonts w:ascii="Times New Roman" w:cs="Times New Roman" w:hAnsi="Times New Roman"/>
                <w:b/>
                <w:bCs/>
                <w:color w:val="5b9cd6"/>
                <w:sz w:val="24"/>
                <w:szCs w:val="24"/>
              </w:rPr>
              <w:t xml:space="preserve"> </w:t>
            </w:r>
            <w:r>
              <w:rPr>
                <w:rFonts w:ascii="Times New Roman" w:cs="Times New Roman" w:hAnsi="Times New Roman"/>
                <w:color w:val="000000"/>
                <w:sz w:val="24"/>
                <w:szCs w:val="24"/>
              </w:rPr>
              <w:t>is evidence that proves a fact without making any inferences or presumptions. In short, those who have direct knowledge (i.e. they have heard it, seen it, or were directly involved in it) of the fact swear of its existence. This may take the form of confessions obtained in a court of law or during the course of investigation.</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p>
          <w:p>
            <w:pPr>
              <w:pStyle w:val="style0"/>
              <w:numPr>
                <w:ilvl w:val="0"/>
                <w:numId w:val="3"/>
              </w:numPr>
              <w:autoSpaceDE w:val="false"/>
              <w:autoSpaceDN w:val="false"/>
              <w:adjustRightInd w:val="false"/>
              <w:spacing w:lineRule="auto" w:line="360"/>
              <w:jc w:val="both"/>
              <w:contextualSpacing/>
              <w:rPr>
                <w:rFonts w:ascii="Times New Roman" w:cs="Times New Roman" w:hAnsi="Times New Roman"/>
                <w:color w:val="000000"/>
                <w:sz w:val="24"/>
                <w:szCs w:val="24"/>
              </w:rPr>
            </w:pPr>
            <w:r>
              <w:rPr>
                <w:rFonts w:ascii="Times New Roman" w:cs="Times New Roman" w:hAnsi="Times New Roman"/>
                <w:bCs/>
                <w:sz w:val="24"/>
                <w:szCs w:val="24"/>
              </w:rPr>
              <w:t>Circumstantial evidence</w:t>
            </w:r>
            <w:r>
              <w:rPr>
                <w:rFonts w:ascii="Times New Roman" w:cs="Times New Roman" w:hAnsi="Times New Roman"/>
                <w:b/>
                <w:bCs/>
                <w:color w:val="5b9cd6"/>
                <w:sz w:val="24"/>
                <w:szCs w:val="24"/>
              </w:rPr>
              <w:t xml:space="preserve"> </w:t>
            </w:r>
            <w:r>
              <w:rPr>
                <w:rFonts w:ascii="Times New Roman" w:cs="Times New Roman" w:hAnsi="Times New Roman"/>
                <w:color w:val="000000"/>
                <w:sz w:val="24"/>
                <w:szCs w:val="24"/>
              </w:rPr>
              <w:t>is evidence that proves a fact through inferences or   presumptions. It means having to prove several supporting facts and then analyzing them in relation to one another in order to prove that the ultimate fact in question exists. Circumstantial evidence is admissible in a court of law. Proving the suspect’s willful intent can be categorized as circumstantial evidence. This kind of evidence is normally used for crimes involving malice, motive, intent, etc., or more simply put, to prove something that exists in the mind of the perpetrator. It is usually considered to be as important as direct evidence and its significance may sometimes even outweigh that of conflicting direct evidence. Evidence is also categorized as oral, documentary, and real.</w:t>
            </w:r>
          </w:p>
          <w:p>
            <w:pPr>
              <w:pStyle w:val="style0"/>
              <w:autoSpaceDE w:val="false"/>
              <w:autoSpaceDN w:val="false"/>
              <w:adjustRightInd w:val="false"/>
              <w:spacing w:lineRule="auto" w:line="360"/>
              <w:ind w:left="1080"/>
              <w:jc w:val="both"/>
              <w:contextualSpacing/>
              <w:rPr>
                <w:rFonts w:ascii="Times New Roman" w:cs="Times New Roman" w:hAnsi="Times New Roman"/>
                <w:color w:val="000000"/>
                <w:sz w:val="24"/>
                <w:szCs w:val="24"/>
              </w:rPr>
            </w:pPr>
          </w:p>
          <w:p>
            <w:pPr>
              <w:pStyle w:val="style0"/>
              <w:numPr>
                <w:ilvl w:val="0"/>
                <w:numId w:val="3"/>
              </w:numPr>
              <w:autoSpaceDE w:val="false"/>
              <w:autoSpaceDN w:val="false"/>
              <w:adjustRightInd w:val="false"/>
              <w:spacing w:lineRule="auto" w:line="360"/>
              <w:jc w:val="both"/>
              <w:contextualSpacing/>
              <w:rPr>
                <w:rFonts w:ascii="Times New Roman" w:cs="Times New Roman" w:hAnsi="Times New Roman"/>
                <w:color w:val="000000"/>
                <w:sz w:val="24"/>
                <w:szCs w:val="24"/>
              </w:rPr>
            </w:pPr>
            <w:r>
              <w:rPr>
                <w:rFonts w:ascii="Times New Roman" w:cs="Times New Roman" w:hAnsi="Times New Roman"/>
                <w:bCs/>
                <w:sz w:val="24"/>
                <w:szCs w:val="24"/>
              </w:rPr>
              <w:t>Oral evidence</w:t>
            </w:r>
            <w:r>
              <w:rPr>
                <w:rFonts w:ascii="Times New Roman" w:cs="Times New Roman" w:hAnsi="Times New Roman"/>
                <w:b/>
                <w:bCs/>
                <w:color w:val="5b9cd6"/>
                <w:sz w:val="24"/>
                <w:szCs w:val="24"/>
              </w:rPr>
              <w:t xml:space="preserve"> </w:t>
            </w:r>
            <w:r>
              <w:rPr>
                <w:rFonts w:ascii="Times New Roman" w:cs="Times New Roman" w:hAnsi="Times New Roman"/>
                <w:color w:val="000000"/>
                <w:sz w:val="24"/>
                <w:szCs w:val="24"/>
              </w:rPr>
              <w:t>involves witness accounts and presentation during submission of records and physical objects. Witness testimony includes oral statements by the witness delivered under oath.</w:t>
            </w:r>
          </w:p>
          <w:p>
            <w:pPr>
              <w:pStyle w:val="style0"/>
              <w:spacing w:lineRule="auto" w:line="360"/>
              <w:ind w:left="720"/>
              <w:jc w:val="both"/>
              <w:contextualSpacing/>
              <w:rPr>
                <w:rFonts w:ascii="Times New Roman" w:cs="Times New Roman" w:hAnsi="Times New Roman"/>
                <w:color w:val="000000"/>
                <w:sz w:val="24"/>
                <w:szCs w:val="24"/>
              </w:rPr>
            </w:pPr>
          </w:p>
          <w:p>
            <w:pPr>
              <w:pStyle w:val="style0"/>
              <w:autoSpaceDE w:val="false"/>
              <w:autoSpaceDN w:val="false"/>
              <w:adjustRightInd w:val="false"/>
              <w:spacing w:lineRule="auto" w:line="360"/>
              <w:ind w:left="720"/>
              <w:jc w:val="both"/>
              <w:contextualSpacing/>
              <w:rPr>
                <w:rFonts w:ascii="Times New Roman" w:cs="Times New Roman" w:hAnsi="Times New Roman"/>
                <w:color w:val="000000"/>
                <w:sz w:val="24"/>
                <w:szCs w:val="24"/>
              </w:rPr>
            </w:pPr>
          </w:p>
          <w:p>
            <w:pPr>
              <w:pStyle w:val="style0"/>
              <w:numPr>
                <w:ilvl w:val="0"/>
                <w:numId w:val="3"/>
              </w:numPr>
              <w:autoSpaceDE w:val="false"/>
              <w:autoSpaceDN w:val="false"/>
              <w:adjustRightInd w:val="false"/>
              <w:spacing w:lineRule="auto" w:line="360"/>
              <w:jc w:val="both"/>
              <w:contextualSpacing/>
              <w:rPr>
                <w:rFonts w:ascii="Times New Roman" w:cs="Times New Roman" w:hAnsi="Times New Roman"/>
                <w:color w:val="000000"/>
                <w:sz w:val="24"/>
                <w:szCs w:val="24"/>
              </w:rPr>
            </w:pPr>
            <w:r>
              <w:rPr>
                <w:rFonts w:ascii="Times New Roman" w:cs="Times New Roman" w:hAnsi="Times New Roman"/>
                <w:bCs/>
                <w:sz w:val="24"/>
                <w:szCs w:val="24"/>
              </w:rPr>
              <w:t>Documentary evidence</w:t>
            </w:r>
            <w:r>
              <w:rPr>
                <w:rFonts w:ascii="Times New Roman" w:cs="Times New Roman" w:hAnsi="Times New Roman"/>
                <w:b/>
                <w:bCs/>
                <w:color w:val="5b9cd6"/>
                <w:sz w:val="24"/>
                <w:szCs w:val="24"/>
              </w:rPr>
              <w:t xml:space="preserve"> </w:t>
            </w:r>
            <w:r>
              <w:rPr>
                <w:rFonts w:ascii="Times New Roman" w:cs="Times New Roman" w:hAnsi="Times New Roman"/>
                <w:color w:val="000000"/>
                <w:sz w:val="24"/>
                <w:szCs w:val="24"/>
              </w:rPr>
              <w:t>includes written material such as judicial records, official documents, contracts, deeds, letters, memoranda, private diaries, maps, photographs, diagrams, and any other official or private writing.</w:t>
            </w:r>
          </w:p>
          <w:p>
            <w:pPr>
              <w:pStyle w:val="style0"/>
              <w:autoSpaceDE w:val="false"/>
              <w:autoSpaceDN w:val="false"/>
              <w:adjustRightInd w:val="false"/>
              <w:spacing w:lineRule="auto" w:line="360"/>
              <w:ind w:left="720"/>
              <w:jc w:val="both"/>
              <w:contextualSpacing/>
              <w:rPr>
                <w:rFonts w:ascii="Times New Roman" w:cs="Times New Roman" w:hAnsi="Times New Roman"/>
                <w:color w:val="000000"/>
                <w:sz w:val="24"/>
                <w:szCs w:val="24"/>
              </w:rPr>
            </w:pPr>
          </w:p>
          <w:p>
            <w:pPr>
              <w:pStyle w:val="style0"/>
              <w:numPr>
                <w:ilvl w:val="0"/>
                <w:numId w:val="3"/>
              </w:numPr>
              <w:autoSpaceDE w:val="false"/>
              <w:autoSpaceDN w:val="false"/>
              <w:adjustRightInd w:val="false"/>
              <w:spacing w:lineRule="auto" w:line="360"/>
              <w:jc w:val="both"/>
              <w:contextualSpacing/>
              <w:rPr>
                <w:rFonts w:ascii="Times New Roman" w:cs="Times New Roman" w:hAnsi="Times New Roman"/>
                <w:color w:val="000000"/>
                <w:sz w:val="24"/>
                <w:szCs w:val="24"/>
              </w:rPr>
            </w:pPr>
            <w:r>
              <w:rPr>
                <w:rFonts w:ascii="Times New Roman" w:cs="Times New Roman" w:hAnsi="Times New Roman"/>
                <w:bCs/>
                <w:sz w:val="24"/>
                <w:szCs w:val="24"/>
              </w:rPr>
              <w:t>Real or physical evidence</w:t>
            </w:r>
            <w:r>
              <w:rPr>
                <w:rFonts w:ascii="Times New Roman" w:cs="Times New Roman" w:hAnsi="Times New Roman"/>
                <w:b/>
                <w:bCs/>
                <w:color w:val="5b9cd6"/>
                <w:sz w:val="24"/>
                <w:szCs w:val="24"/>
              </w:rPr>
              <w:t xml:space="preserve"> </w:t>
            </w:r>
            <w:r>
              <w:rPr>
                <w:rFonts w:ascii="Times New Roman" w:cs="Times New Roman" w:hAnsi="Times New Roman"/>
                <w:color w:val="000000"/>
                <w:sz w:val="24"/>
                <w:szCs w:val="24"/>
              </w:rPr>
              <w:t>consists of tangible objects or property.  It may include a knife, pistol, or any other weapon. It must be relevant to the case and admissible in a court of law.</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p>
          <w:p>
            <w:pPr>
              <w:pStyle w:val="style0"/>
              <w:autoSpaceDE w:val="false"/>
              <w:autoSpaceDN w:val="false"/>
              <w:adjustRightInd w:val="false"/>
              <w:spacing w:lineRule="auto" w:line="360"/>
              <w:ind w:left="360"/>
              <w:jc w:val="both"/>
              <w:rPr>
                <w:rFonts w:ascii="Times New Roman" w:cs="Times New Roman" w:hAnsi="Times New Roman"/>
                <w:sz w:val="24"/>
                <w:szCs w:val="24"/>
              </w:rPr>
            </w:pPr>
            <w:r>
              <w:rPr>
                <w:rFonts w:ascii="Times New Roman" w:cs="Times New Roman" w:hAnsi="Times New Roman"/>
                <w:color w:val="000000"/>
                <w:sz w:val="24"/>
                <w:szCs w:val="24"/>
              </w:rPr>
              <w:t>Finally, financial crimes are highly document-based hence voluminous.</w:t>
            </w:r>
            <w:r>
              <w:rPr>
                <w:rFonts w:ascii="Times New Roman" w:cs="Times New Roman" w:hAnsi="Times New Roman"/>
                <w:sz w:val="24"/>
                <w:szCs w:val="24"/>
              </w:rPr>
              <w:t xml:space="preserve"> Investigators are usually faced with volumes of documents, receipts, papers, etc. Investigators of financial crimes should not be scared of the quantum of documents that are gathered during the process although it is a time consuming effort. </w:t>
            </w:r>
            <w:r>
              <w:rPr>
                <w:rFonts w:ascii="Times New Roman" w:cs="Times New Roman" w:hAnsi="Times New Roman"/>
                <w:sz w:val="24"/>
                <w:szCs w:val="24"/>
              </w:rPr>
              <w:tab/>
            </w:r>
            <w:r>
              <w:rPr>
                <w:rFonts w:ascii="Times New Roman" w:cs="Times New Roman" w:hAnsi="Times New Roman"/>
                <w:sz w:val="24"/>
                <w:szCs w:val="24"/>
              </w:rPr>
              <w:t xml:space="preserve"> </w:t>
            </w:r>
          </w:p>
          <w:p>
            <w:pPr>
              <w:pStyle w:val="style0"/>
              <w:autoSpaceDE w:val="false"/>
              <w:autoSpaceDN w:val="false"/>
              <w:adjustRightInd w:val="false"/>
              <w:spacing w:lineRule="auto" w:line="360"/>
              <w:ind w:left="360"/>
              <w:jc w:val="both"/>
              <w:rPr>
                <w:rFonts w:ascii="Times New Roman" w:cs="Times New Roman" w:hAnsi="Times New Roman"/>
                <w:sz w:val="24"/>
                <w:szCs w:val="24"/>
              </w:rPr>
            </w:pP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sz w:val="24"/>
                <w:szCs w:val="24"/>
              </w:rPr>
              <w:t xml:space="preserve">3.  </w:t>
            </w:r>
            <w:r>
              <w:rPr>
                <w:rFonts w:ascii="Times New Roman" w:cs="Times New Roman" w:hAnsi="Times New Roman"/>
                <w:color w:val="000000"/>
                <w:sz w:val="24"/>
                <w:szCs w:val="24"/>
              </w:rPr>
              <w:t xml:space="preserve">The basic difference in the composition of these types of evidence is: </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In cases of non-financial crimes evidence usually comprises fingerprints, weapons, and other physical, hard or real objects. Sometimes, documentary proof and photographs are also considered important evidence but these are relatively rare in non-financial crimes. </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r>
              <w:rPr>
                <w:rFonts w:ascii="Times New Roman" w:cs="Times New Roman" w:hAnsi="Times New Roman"/>
                <w:color w:val="000000"/>
                <w:sz w:val="24"/>
                <w:szCs w:val="24"/>
              </w:rPr>
              <w:t>Whereas financial crimes are highly document-based that must be well proved without any denial when the perpetrator is confronted; investigators are usually faced with high volumes of documents, receipts, papers, invoices, etc. What is considered an unusually high volume of evidence for non-financial crimes is a very common volume for financial crimes.</w:t>
            </w:r>
          </w:p>
          <w:p>
            <w:pPr>
              <w:pStyle w:val="style0"/>
              <w:autoSpaceDE w:val="false"/>
              <w:autoSpaceDN w:val="false"/>
              <w:adjustRightInd w:val="false"/>
              <w:spacing w:lineRule="auto" w:line="360"/>
              <w:jc w:val="both"/>
              <w:rPr>
                <w:rFonts w:ascii="Times New Roman" w:cs="Times New Roman" w:hAnsi="Times New Roman"/>
                <w:color w:val="000000"/>
                <w:sz w:val="24"/>
                <w:szCs w:val="24"/>
              </w:rPr>
            </w:pPr>
          </w:p>
          <w:p>
            <w:pPr>
              <w:pStyle w:val="style0"/>
              <w:rPr>
                <w:rFonts w:ascii="Arial" w:cs="Arial" w:hAnsi="Arial"/>
                <w:sz w:val="24"/>
                <w:szCs w:val="24"/>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p>
            <w:pPr>
              <w:pStyle w:val="style0"/>
              <w:rPr>
                <w:b/>
              </w:rPr>
            </w:pPr>
          </w:p>
        </w:tc>
      </w:tr>
    </w:tbl>
    <w:p>
      <w:pPr>
        <w:pStyle w:val="style0"/>
        <w:autoSpaceDE w:val="false"/>
        <w:autoSpaceDN w:val="false"/>
        <w:adjustRightInd w:val="false"/>
        <w:spacing w:after="0" w:lineRule="auto" w:line="240"/>
        <w:rPr>
          <w:rFonts w:cs="CalvertMT-Bold"/>
          <w:b/>
          <w:bCs/>
          <w:color w:val="002060"/>
          <w:sz w:val="28"/>
          <w:lang w:val="en-US"/>
        </w:rPr>
      </w:pPr>
    </w:p>
    <w:p>
      <w:pPr>
        <w:pStyle w:val="style0"/>
        <w:autoSpaceDE w:val="false"/>
        <w:autoSpaceDN w:val="false"/>
        <w:adjustRightInd w:val="false"/>
        <w:spacing w:after="0" w:lineRule="auto" w:line="240"/>
        <w:rPr>
          <w:rFonts w:cs="CalvertMT-Bold"/>
          <w:b/>
          <w:bCs/>
          <w:color w:val="002060"/>
          <w:sz w:val="28"/>
          <w:lang w:val="en-US"/>
        </w:rPr>
      </w:pPr>
      <w:r>
        <w:rPr>
          <w:rFonts w:cs="CalvertMT-Bold"/>
          <w:b/>
          <w:bCs/>
          <w:color w:val="002060"/>
          <w:sz w:val="28"/>
          <w:lang w:val="en-US"/>
        </w:rPr>
        <w:t>Student</w:t>
      </w:r>
      <w:r>
        <w:rPr>
          <w:rFonts w:cs="CalvertMT-Bold"/>
          <w:b/>
          <w:bCs/>
          <w:color w:val="002060"/>
          <w:sz w:val="28"/>
          <w:lang w:val="en-US"/>
        </w:rPr>
        <w:t xml:space="preserve"> Statement:</w:t>
      </w:r>
    </w:p>
    <w:p>
      <w:pPr>
        <w:pStyle w:val="style0"/>
        <w:autoSpaceDE w:val="false"/>
        <w:autoSpaceDN w:val="false"/>
        <w:adjustRightInd w:val="false"/>
        <w:spacing w:after="0" w:lineRule="auto" w:line="240"/>
        <w:rPr>
          <w:rFonts w:cs="CalvertMT-Bold"/>
          <w:b/>
          <w:bCs/>
          <w:color w:val="001ae6"/>
          <w:lang w:val="en-US"/>
        </w:rPr>
      </w:pPr>
    </w:p>
    <w:p>
      <w:pPr>
        <w:pStyle w:val="style0"/>
        <w:autoSpaceDE w:val="false"/>
        <w:autoSpaceDN w:val="false"/>
        <w:adjustRightInd w:val="false"/>
        <w:spacing w:after="0" w:lineRule="auto" w:line="240"/>
        <w:rPr>
          <w:rFonts w:cs="Bliss-Regular"/>
          <w:color w:val="000000"/>
          <w:lang w:val="en-US"/>
        </w:rPr>
      </w:pPr>
      <w:r>
        <w:rPr>
          <w:rFonts w:cs="Bliss-Regular"/>
          <w:color w:val="000000"/>
          <w:lang w:val="en-US"/>
        </w:rPr>
        <w:t>By submitting this assignment, I confirm that this is my own work.</w:t>
      </w: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p>
      <w:pPr>
        <w:pStyle w:val="style0"/>
        <w:autoSpaceDE w:val="false"/>
        <w:autoSpaceDN w:val="false"/>
        <w:adjustRightInd w:val="false"/>
        <w:spacing w:after="0" w:lineRule="auto" w:line="240"/>
        <w:rPr>
          <w:rFonts w:cs="Bliss-Regular"/>
          <w:color w:val="000000"/>
          <w:lang w:val="en-US"/>
        </w:rPr>
      </w:pPr>
    </w:p>
    <w:tbl>
      <w:tblPr>
        <w:tblStyle w:val="style154"/>
        <w:tblW w:w="0" w:type="auto"/>
        <w:tblLook w:val="04A0" w:firstRow="1" w:lastRow="0" w:firstColumn="1" w:lastColumn="0" w:noHBand="0" w:noVBand="1"/>
      </w:tblPr>
      <w:tblGrid>
        <w:gridCol w:w="2310"/>
        <w:gridCol w:w="4035"/>
        <w:gridCol w:w="1276"/>
        <w:gridCol w:w="1621"/>
      </w:tblGrid>
      <w:tr>
        <w:trPr/>
        <w:tc>
          <w:tcPr>
            <w:tcW w:w="2310" w:type="dxa"/>
            <w:tcBorders/>
            <w:shd w:val="clear" w:color="auto" w:fill="d9d9d9"/>
          </w:tcPr>
          <w:p>
            <w:pPr>
              <w:pStyle w:val="style0"/>
              <w:rPr>
                <w:rFonts w:cs="Bliss-Regular"/>
                <w:color w:val="000000"/>
              </w:rPr>
            </w:pPr>
            <w:r>
              <w:rPr>
                <w:rFonts w:cs="Bliss-Regular"/>
                <w:color w:val="000000"/>
              </w:rPr>
              <w:t>Student Signature</w:t>
            </w:r>
          </w:p>
        </w:tc>
        <w:tc>
          <w:tcPr>
            <w:tcW w:w="4035" w:type="dxa"/>
            <w:tcBorders/>
          </w:tcPr>
          <w:p>
            <w:pPr>
              <w:pStyle w:val="style0"/>
              <w:rPr>
                <w:rFonts w:cs="Bliss-Regular"/>
                <w:color w:val="000000"/>
              </w:rPr>
            </w:pPr>
            <w:r>
              <w:rPr>
                <w:rFonts w:cs="Bliss-Regular"/>
                <w:color w:val="000000"/>
              </w:rPr>
              <w:t>E</w:t>
            </w:r>
            <w:r>
              <w:rPr>
                <w:rFonts w:cs="Bliss-Regular"/>
                <w:color w:val="000000"/>
              </w:rPr>
              <w:t>ffah Eugene Tannor</w:t>
            </w:r>
          </w:p>
        </w:tc>
        <w:tc>
          <w:tcPr>
            <w:tcW w:w="1276" w:type="dxa"/>
            <w:tcBorders/>
            <w:shd w:val="clear" w:color="auto" w:fill="d9d9d9"/>
          </w:tcPr>
          <w:p>
            <w:pPr>
              <w:pStyle w:val="style0"/>
              <w:rPr>
                <w:rFonts w:cs="Bliss-Regular"/>
                <w:color w:val="000000"/>
              </w:rPr>
            </w:pPr>
            <w:r>
              <w:rPr>
                <w:rFonts w:cs="Bliss-Regular"/>
                <w:color w:val="000000"/>
              </w:rPr>
              <w:t>Date</w:t>
            </w:r>
          </w:p>
        </w:tc>
        <w:tc>
          <w:tcPr>
            <w:tcW w:w="1621" w:type="dxa"/>
            <w:tcBorders/>
          </w:tcPr>
          <w:p>
            <w:pPr>
              <w:pStyle w:val="style0"/>
              <w:rPr>
                <w:rFonts w:cs="Bliss-Regular"/>
                <w:color w:val="000000"/>
              </w:rPr>
            </w:pPr>
            <w:r>
              <w:rPr>
                <w:rFonts w:cs="Bliss-Regular"/>
                <w:color w:val="000000"/>
              </w:rPr>
              <w:t>15th March, 2</w:t>
            </w:r>
            <w:r>
              <w:rPr>
                <w:rFonts w:cs="Bliss-Regular"/>
                <w:color w:val="000000"/>
              </w:rPr>
              <w:t>017.</w:t>
            </w:r>
          </w:p>
        </w:tc>
      </w:tr>
    </w:tbl>
    <w:p>
      <w:pPr>
        <w:pStyle w:val="style0"/>
        <w:rPr>
          <w:rFonts w:cs="Bliss-Regular"/>
          <w:color w:val="000000"/>
          <w:lang w:val="en-US"/>
        </w:rPr>
      </w:pPr>
    </w:p>
    <w:p>
      <w:pPr>
        <w:pStyle w:val="style0"/>
        <w:rPr>
          <w:rFonts w:cs="Bliss-Regular"/>
          <w:color w:val="000000"/>
          <w:lang w:val="en-US"/>
        </w:rPr>
      </w:pPr>
    </w:p>
    <w:p>
      <w:pPr>
        <w:pStyle w:val="style0"/>
        <w:shd w:val="clear" w:color="auto" w:fill="d9d9d9"/>
        <w:rPr>
          <w:b/>
          <w:sz w:val="32"/>
          <w:lang w:val="en-US"/>
        </w:rPr>
      </w:pPr>
      <w:r>
        <w:rPr>
          <w:b/>
          <w:sz w:val="28"/>
          <w:lang w:val="en-US"/>
        </w:rPr>
        <w:t>For Tutor / Assessor Use Only</w:t>
      </w:r>
    </w:p>
    <w:tbl>
      <w:tblPr>
        <w:tblStyle w:val="style154"/>
        <w:tblW w:w="0" w:type="auto"/>
        <w:tblLook w:val="04A0" w:firstRow="1" w:lastRow="0" w:firstColumn="1" w:lastColumn="0" w:noHBand="0" w:noVBand="1"/>
      </w:tblPr>
      <w:tblGrid>
        <w:gridCol w:w="4621"/>
        <w:gridCol w:w="4621"/>
      </w:tblGrid>
      <w:tr>
        <w:trPr>
          <w:trHeight w:val="249" w:hRule="atLeast"/>
        </w:trPr>
        <w:tc>
          <w:tcPr>
            <w:tcW w:w="4621" w:type="dxa"/>
            <w:tcBorders/>
            <w:shd w:val="clear" w:color="auto" w:fill="d9d9d9"/>
          </w:tcPr>
          <w:p>
            <w:pPr>
              <w:pStyle w:val="style0"/>
              <w:rPr>
                <w:b/>
                <w:color w:val="002060"/>
              </w:rPr>
            </w:pPr>
            <w:r>
              <w:rPr>
                <w:b/>
                <w:color w:val="002060"/>
              </w:rPr>
              <w:t>Total Marks</w:t>
            </w:r>
          </w:p>
        </w:tc>
        <w:tc>
          <w:tcPr>
            <w:tcW w:w="4621" w:type="dxa"/>
            <w:tcBorders/>
          </w:tcPr>
          <w:p>
            <w:pPr>
              <w:pStyle w:val="style0"/>
              <w:rPr>
                <w:rFonts w:cs="Times New Roman"/>
                <w:szCs w:val="32"/>
              </w:rPr>
            </w:pPr>
          </w:p>
        </w:tc>
      </w:tr>
      <w:tr>
        <w:tblPrEx/>
        <w:trPr/>
        <w:tc>
          <w:tcPr>
            <w:tcW w:w="4621" w:type="dxa"/>
            <w:tcBorders/>
            <w:shd w:val="clear" w:color="auto" w:fill="d9d9d9"/>
          </w:tcPr>
          <w:p>
            <w:pPr>
              <w:pStyle w:val="style0"/>
              <w:rPr>
                <w:b/>
                <w:color w:val="002060"/>
              </w:rPr>
            </w:pPr>
            <w:r>
              <w:rPr>
                <w:b/>
                <w:color w:val="002060"/>
              </w:rPr>
              <w:t>Marks Obtained</w:t>
            </w:r>
          </w:p>
        </w:tc>
        <w:tc>
          <w:tcPr>
            <w:tcW w:w="4621" w:type="dxa"/>
            <w:tcBorders/>
          </w:tcPr>
          <w:p>
            <w:pPr>
              <w:pStyle w:val="style0"/>
              <w:rPr>
                <w:rFonts w:cs="Times New Roman"/>
                <w:szCs w:val="32"/>
              </w:rPr>
            </w:pPr>
          </w:p>
        </w:tc>
      </w:tr>
      <w:tr>
        <w:tblPrEx/>
        <w:trPr/>
        <w:tc>
          <w:tcPr>
            <w:tcW w:w="4621" w:type="dxa"/>
            <w:tcBorders/>
            <w:shd w:val="clear" w:color="auto" w:fill="d9d9d9"/>
          </w:tcPr>
          <w:p>
            <w:pPr>
              <w:pStyle w:val="style0"/>
              <w:rPr>
                <w:b/>
                <w:color w:val="002060"/>
              </w:rPr>
            </w:pPr>
            <w:r>
              <w:rPr>
                <w:b/>
                <w:color w:val="002060"/>
              </w:rPr>
              <w:t>Percentage / Grade</w:t>
            </w:r>
          </w:p>
        </w:tc>
        <w:tc>
          <w:tcPr>
            <w:tcW w:w="4621" w:type="dxa"/>
            <w:tcBorders/>
          </w:tcPr>
          <w:p>
            <w:pPr>
              <w:pStyle w:val="style0"/>
              <w:rPr>
                <w:rFonts w:cs="Times New Roman"/>
                <w:szCs w:val="32"/>
              </w:rPr>
            </w:pPr>
          </w:p>
        </w:tc>
      </w:tr>
    </w:tbl>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p>
      <w:pPr>
        <w:pStyle w:val="style0"/>
        <w:rPr>
          <w:rFonts w:cs="Times New Roman"/>
          <w:sz w:val="24"/>
          <w:szCs w:val="32"/>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AFF" w:usb1="C0007841" w:usb2="00000009" w:usb3="00000000" w:csb0="000001FF" w:csb1="00000000"/>
  </w:font>
  <w:font w:name="Calibri">
    <w:altName w:val="Calibri"/>
    <w:panose1 w:val="020f0502020000030204"/>
    <w:charset w:val="00"/>
    <w:family w:val="swiss"/>
    <w:pitch w:val="variable"/>
    <w:sig w:usb0="E10002FF" w:usb1="4000ACFF" w:usb2="00000009" w:usb3="00000000" w:csb0="0000019F" w:csb1="00000000"/>
  </w:font>
  <w:font w:name="Tahoma">
    <w:altName w:val="Tahoma"/>
    <w:panose1 w:val="020b0604030000040204"/>
    <w:charset w:val="00"/>
    <w:family w:val="swiss"/>
    <w:pitch w:val="variable"/>
    <w:sig w:usb0="E1002EFF" w:usb1="C000605B" w:usb2="00000029" w:usb3="00000000" w:csb0="000101FF" w:csb1="00000000"/>
  </w:font>
  <w:font w:name="Arial">
    <w:altName w:val="Arial"/>
    <w:panose1 w:val="020b0604020000020204"/>
    <w:charset w:val="00"/>
    <w:family w:val="swiss"/>
    <w:pitch w:val="variable"/>
    <w:sig w:usb0="E0002AFF" w:usb1="C0007843" w:usb2="00000009" w:usb3="00000000" w:csb0="000001FF" w:csb1="00000000"/>
  </w:font>
  <w:font w:name="CalvertMT-Bold">
    <w:altName w:val="CalvertMT-Bold"/>
    <w:panose1 w:val="00000000000000000000"/>
    <w:charset w:val="00"/>
    <w:family w:val="roman"/>
    <w:pitch w:val="default"/>
    <w:sig w:usb0="00000003" w:usb1="00000000" w:usb2="00000000" w:usb3="00000000" w:csb0="00000001" w:csb1="00000000"/>
  </w:font>
  <w:font w:name="Bliss-Regular">
    <w:altName w:val="Bliss-Regular"/>
    <w:panose1 w:val="00000000000000000000"/>
    <w:charset w:val="00"/>
    <w:family w:val="swiss"/>
    <w:pitch w:val="default"/>
    <w:sig w:usb0="00000003" w:usb1="00000000" w:usb2="00000000" w:usb3="00000000" w:csb0="00000001"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788BC4E"/>
    <w:lvl w:ilvl="0" w:tplc="41B420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8A94D3D2"/>
    <w:lvl w:ilvl="0" w:tplc="C0BC6C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2"/>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40dbd25c-305e-4ddc-98d4-e35d7d71bfe2"/>
    <w:basedOn w:val="style65"/>
    <w:next w:val="style4097"/>
    <w:link w:val="style31"/>
    <w:uiPriority w:val="99"/>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2f834aa2-73e0-4d5e-a5c0-6d24bf452ee7"/>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rFonts w:ascii="Calibri" w:cs="Times New Roman" w:eastAsia="Calibri" w:hAnsi="Calibri"/>
      <w:lang w:val="en-US"/>
    </w:rPr>
  </w:style>
  <w:style w:type="paragraph" w:customStyle="1" w:styleId="style4100">
    <w:name w:val="Default"/>
    <w:next w:val="style4100"/>
    <w:pPr>
      <w:autoSpaceDE w:val="false"/>
      <w:autoSpaceDN w:val="false"/>
      <w:adjustRightInd w:val="false"/>
      <w:spacing w:after="0" w:lineRule="auto" w:line="240"/>
    </w:pPr>
    <w:rPr>
      <w:rFonts w:ascii="Calibri" w:cs="Calibri" w:eastAsia="Calibri" w:hAnsi="Calibri"/>
      <w:color w:val="000000"/>
      <w:sz w:val="24"/>
      <w:szCs w:val="24"/>
      <w:lang w:val="en-US"/>
    </w:rPr>
  </w:style>
  <w:style w:type="table" w:styleId="style154">
    <w:name w:val="Table Grid"/>
    <w:basedOn w:val="style105"/>
    <w:next w:val="style154"/>
    <w:uiPriority w:val="59"/>
    <w:pPr>
      <w:spacing w:after="0" w:lineRule="auto" w:line="240"/>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553A9-7E46-4794-AA09-B926409D2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Words>2089</Words>
  <Characters>11907</Characters>
  <Application>WPS Office</Application>
  <DocSecurity>0</DocSecurity>
  <Paragraphs>199</Paragraphs>
  <ScaleCrop>false</ScaleCrop>
  <LinksUpToDate>false</LinksUpToDate>
  <CharactersWithSpaces>14039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2015-01-26T12:24:00Z</dcterms:created>
  <dc:creator>kemipher</dc:creator>
  <lastModifiedBy>SM-A9000</lastModifiedBy>
  <dcterms:modified xsi:type="dcterms:W3CDTF">2017-03-15T10:15:28Z</dcterms:modified>
  <revision>3</revision>
</coreProperties>
</file>

<file path=docProps/custom.xml><?xml version="1.0" encoding="utf-8"?>
<Properties xmlns="http://schemas.openxmlformats.org/officeDocument/2006/custom-properties" xmlns:vt="http://schemas.openxmlformats.org/officeDocument/2006/docPropsVTypes"/>
</file>