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9755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1E7EF0E" wp14:editId="29CAA8E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4469B90" w14:textId="77777777" w:rsidR="00607874" w:rsidRDefault="00CC157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EBF78D1" wp14:editId="728AD944">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20C91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2CF1DA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BF78D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7620C91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2CF1DA4" w14:textId="77777777" w:rsidR="00405895" w:rsidRDefault="00405895"/>
                  </w:txbxContent>
                </v:textbox>
              </v:shape>
            </w:pict>
          </mc:Fallback>
        </mc:AlternateContent>
      </w:r>
    </w:p>
    <w:p w14:paraId="63CAB5CF" w14:textId="77777777" w:rsidR="00607874" w:rsidRDefault="00607874" w:rsidP="00A851DA">
      <w:pPr>
        <w:rPr>
          <w:lang w:val="en-US"/>
        </w:rPr>
      </w:pPr>
    </w:p>
    <w:p w14:paraId="72AD9F83" w14:textId="77777777" w:rsidR="00607874" w:rsidRDefault="00607874" w:rsidP="00A851DA">
      <w:pPr>
        <w:rPr>
          <w:lang w:val="en-US"/>
        </w:rPr>
      </w:pPr>
    </w:p>
    <w:p w14:paraId="09CD523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519883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7B19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C3DA40" w14:textId="54B88ACF" w:rsidR="00A851DA" w:rsidRPr="00B0415E" w:rsidRDefault="00CC157D">
            <w:pPr>
              <w:pStyle w:val="Default"/>
              <w:rPr>
                <w:rFonts w:asciiTheme="minorHAnsi" w:hAnsiTheme="minorHAnsi"/>
              </w:rPr>
            </w:pPr>
            <w:r>
              <w:rPr>
                <w:rFonts w:asciiTheme="minorHAnsi" w:hAnsiTheme="minorHAnsi"/>
              </w:rPr>
              <w:t>Jenny Sowter</w:t>
            </w:r>
          </w:p>
        </w:tc>
      </w:tr>
      <w:tr w:rsidR="00A851DA" w:rsidRPr="00B0415E" w14:paraId="33FC64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ECF21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7117684" w14:textId="7181FA00" w:rsidR="00A851DA" w:rsidRPr="00B0415E" w:rsidRDefault="00CC157D">
            <w:pPr>
              <w:pStyle w:val="Default"/>
              <w:rPr>
                <w:rFonts w:asciiTheme="minorHAnsi" w:hAnsiTheme="minorHAnsi"/>
              </w:rPr>
            </w:pPr>
            <w:r>
              <w:rPr>
                <w:rFonts w:asciiTheme="minorHAnsi" w:hAnsiTheme="minorHAnsi"/>
              </w:rPr>
              <w:t>19053</w:t>
            </w:r>
          </w:p>
        </w:tc>
      </w:tr>
      <w:tr w:rsidR="00A851DA" w:rsidRPr="00B0415E" w14:paraId="598B2A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BA4EB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A6AAD68" w14:textId="23C25E6F" w:rsidR="00A851DA" w:rsidRPr="00B0415E" w:rsidRDefault="00CC157D">
            <w:pPr>
              <w:pStyle w:val="Default"/>
              <w:rPr>
                <w:rFonts w:asciiTheme="minorHAnsi" w:hAnsiTheme="minorHAnsi"/>
              </w:rPr>
            </w:pPr>
            <w:r>
              <w:rPr>
                <w:rFonts w:asciiTheme="minorHAnsi" w:hAnsiTheme="minorHAnsi"/>
              </w:rPr>
              <w:t>Diploma in Environmental Management (level 4)</w:t>
            </w:r>
          </w:p>
        </w:tc>
      </w:tr>
      <w:tr w:rsidR="00A851DA" w:rsidRPr="00B0415E" w14:paraId="740F0BF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D9023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363154" w14:textId="72AD9845" w:rsidR="00A851DA" w:rsidRPr="00B0415E" w:rsidRDefault="00CC157D">
            <w:r>
              <w:t>4</w:t>
            </w:r>
          </w:p>
        </w:tc>
      </w:tr>
    </w:tbl>
    <w:p w14:paraId="004B52F6" w14:textId="77777777" w:rsidR="00CC2FB3" w:rsidRDefault="00CC2FB3" w:rsidP="00A851DA">
      <w:pPr>
        <w:rPr>
          <w:b/>
          <w:lang w:val="en-US"/>
        </w:rPr>
      </w:pPr>
    </w:p>
    <w:p w14:paraId="64BA6961" w14:textId="77777777" w:rsidR="00443E6F" w:rsidRDefault="00527C11" w:rsidP="00A851DA">
      <w:pPr>
        <w:rPr>
          <w:b/>
          <w:sz w:val="28"/>
          <w:lang w:val="en-US"/>
        </w:rPr>
      </w:pPr>
      <w:r w:rsidRPr="00443E6F">
        <w:rPr>
          <w:b/>
          <w:sz w:val="28"/>
          <w:lang w:val="en-US"/>
        </w:rPr>
        <w:t>Marking Criteria:</w:t>
      </w:r>
    </w:p>
    <w:p w14:paraId="5E69890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1BBA5A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6C212DF" w14:textId="77777777" w:rsidTr="00CC2FB3">
        <w:tc>
          <w:tcPr>
            <w:tcW w:w="9242" w:type="dxa"/>
          </w:tcPr>
          <w:p w14:paraId="7C024F01" w14:textId="77777777" w:rsidR="00CC157D" w:rsidRPr="009F45F2" w:rsidRDefault="00CC157D" w:rsidP="00CC157D">
            <w:pPr>
              <w:pStyle w:val="ListParagraph"/>
              <w:autoSpaceDE w:val="0"/>
              <w:autoSpaceDN w:val="0"/>
              <w:adjustRightInd w:val="0"/>
              <w:ind w:left="0"/>
              <w:rPr>
                <w:rFonts w:asciiTheme="minorHAnsi" w:hAnsiTheme="minorHAnsi" w:cstheme="minorHAnsi"/>
                <w:b/>
                <w:bCs/>
                <w:color w:val="000000"/>
              </w:rPr>
            </w:pPr>
            <w:r w:rsidRPr="009F45F2">
              <w:rPr>
                <w:rFonts w:asciiTheme="minorHAnsi" w:hAnsiTheme="minorHAnsi" w:cstheme="minorHAnsi"/>
                <w:b/>
                <w:bCs/>
                <w:color w:val="000000"/>
              </w:rPr>
              <w:t>Question 1:</w:t>
            </w:r>
          </w:p>
          <w:p w14:paraId="7F9DDAC3" w14:textId="77777777" w:rsidR="00CC157D" w:rsidRPr="009F45F2" w:rsidRDefault="00CC157D" w:rsidP="00CC157D">
            <w:pPr>
              <w:pStyle w:val="ListParagraph"/>
              <w:autoSpaceDE w:val="0"/>
              <w:autoSpaceDN w:val="0"/>
              <w:adjustRightInd w:val="0"/>
              <w:ind w:left="0"/>
              <w:rPr>
                <w:rFonts w:asciiTheme="minorHAnsi" w:hAnsiTheme="minorHAnsi" w:cstheme="minorHAnsi"/>
                <w:b/>
                <w:bCs/>
                <w:color w:val="000000"/>
              </w:rPr>
            </w:pPr>
            <w:r w:rsidRPr="009F45F2">
              <w:rPr>
                <w:rFonts w:asciiTheme="minorHAnsi" w:hAnsiTheme="minorHAnsi" w:cstheme="minorHAnsi"/>
                <w:b/>
                <w:bCs/>
                <w:color w:val="000000"/>
              </w:rPr>
              <w:t>What are the 17 requirements of the ISO 14001:2004 standard? (6)</w:t>
            </w:r>
          </w:p>
          <w:p w14:paraId="65DE5F5A" w14:textId="77777777" w:rsidR="00CC157D" w:rsidRPr="00420DF8" w:rsidRDefault="00CC157D" w:rsidP="00CC157D">
            <w:pPr>
              <w:pStyle w:val="ListParagraph"/>
              <w:autoSpaceDE w:val="0"/>
              <w:autoSpaceDN w:val="0"/>
              <w:adjustRightInd w:val="0"/>
              <w:ind w:left="0"/>
              <w:rPr>
                <w:rFonts w:asciiTheme="minorHAnsi" w:hAnsiTheme="minorHAnsi" w:cstheme="minorHAnsi"/>
                <w:color w:val="000000"/>
              </w:rPr>
            </w:pPr>
          </w:p>
          <w:p w14:paraId="1EFCEAEC" w14:textId="77777777" w:rsidR="00CC157D" w:rsidRDefault="00CC157D" w:rsidP="00CC157D">
            <w:pPr>
              <w:outlineLvl w:val="1"/>
              <w:rPr>
                <w:rFonts w:cstheme="minorHAnsi"/>
                <w:color w:val="000000" w:themeColor="text1"/>
              </w:rPr>
            </w:pPr>
            <w:r w:rsidRPr="00420DF8">
              <w:rPr>
                <w:rFonts w:cstheme="minorHAnsi"/>
                <w:color w:val="000000" w:themeColor="text1"/>
              </w:rPr>
              <w:t>The 17 requirements of ISO14001:2004 are:</w:t>
            </w:r>
          </w:p>
          <w:p w14:paraId="67CD1070" w14:textId="77777777" w:rsidR="00CC157D" w:rsidRPr="00420DF8" w:rsidRDefault="00CC157D" w:rsidP="00CC157D">
            <w:pPr>
              <w:outlineLvl w:val="1"/>
              <w:rPr>
                <w:rFonts w:cstheme="minorHAnsi"/>
                <w:color w:val="000000" w:themeColor="text1"/>
              </w:rPr>
            </w:pPr>
          </w:p>
          <w:p w14:paraId="40FC7513" w14:textId="77777777" w:rsidR="00CC157D" w:rsidRDefault="00CC157D" w:rsidP="00CC157D">
            <w:pPr>
              <w:outlineLvl w:val="1"/>
              <w:rPr>
                <w:rFonts w:cstheme="minorHAnsi"/>
                <w:color w:val="000000" w:themeColor="text1"/>
              </w:rPr>
            </w:pPr>
            <w:r w:rsidRPr="00420DF8">
              <w:rPr>
                <w:rFonts w:cstheme="minorHAnsi"/>
                <w:color w:val="000000" w:themeColor="text1"/>
              </w:rPr>
              <w:t>4.1 General Requirements – this show how a company meets the standard by establishing, implementing, documenting and continually improving their Environmental Management System.</w:t>
            </w:r>
          </w:p>
          <w:p w14:paraId="30243252" w14:textId="77777777" w:rsidR="00CC157D" w:rsidRPr="00420DF8" w:rsidRDefault="00CC157D" w:rsidP="00CC157D">
            <w:pPr>
              <w:outlineLvl w:val="1"/>
              <w:rPr>
                <w:rFonts w:cstheme="minorHAnsi"/>
                <w:color w:val="000000" w:themeColor="text1"/>
              </w:rPr>
            </w:pPr>
          </w:p>
          <w:p w14:paraId="77AB3426" w14:textId="77777777" w:rsidR="00CC157D" w:rsidRDefault="00CC157D" w:rsidP="00CC157D">
            <w:pPr>
              <w:outlineLvl w:val="1"/>
              <w:rPr>
                <w:rFonts w:cstheme="minorHAnsi"/>
                <w:color w:val="000000" w:themeColor="text1"/>
              </w:rPr>
            </w:pPr>
            <w:r w:rsidRPr="00420DF8">
              <w:rPr>
                <w:rFonts w:cstheme="minorHAnsi"/>
                <w:color w:val="000000" w:themeColor="text1"/>
              </w:rPr>
              <w:t>4.2 – Environmental Policy – A short written statement supported by Management and Directors and contains the company/</w:t>
            </w:r>
            <w:proofErr w:type="spellStart"/>
            <w:r w:rsidRPr="00420DF8">
              <w:rPr>
                <w:rFonts w:cstheme="minorHAnsi"/>
                <w:color w:val="000000" w:themeColor="text1"/>
              </w:rPr>
              <w:t>organisations</w:t>
            </w:r>
            <w:proofErr w:type="spellEnd"/>
            <w:r w:rsidRPr="00420DF8">
              <w:rPr>
                <w:rFonts w:cstheme="minorHAnsi"/>
                <w:color w:val="000000" w:themeColor="text1"/>
              </w:rPr>
              <w:t xml:space="preserve"> commitment to regulations and legislation, the elimination of pollution, commitment to on-going improvement, communicated to all staff, documented, implemented and maintained and available to the public. </w:t>
            </w:r>
          </w:p>
          <w:p w14:paraId="7DFC9721" w14:textId="77777777" w:rsidR="00CC157D" w:rsidRPr="00420DF8" w:rsidRDefault="00CC157D" w:rsidP="00CC157D">
            <w:pPr>
              <w:outlineLvl w:val="1"/>
              <w:rPr>
                <w:rFonts w:cstheme="minorHAnsi"/>
                <w:color w:val="000000" w:themeColor="text1"/>
              </w:rPr>
            </w:pPr>
          </w:p>
          <w:p w14:paraId="5E3EBA9B" w14:textId="77777777" w:rsidR="00CC157D" w:rsidRDefault="00CC157D" w:rsidP="00CC157D">
            <w:pPr>
              <w:outlineLvl w:val="1"/>
              <w:rPr>
                <w:rFonts w:cstheme="minorHAnsi"/>
                <w:color w:val="000000" w:themeColor="text1"/>
              </w:rPr>
            </w:pPr>
            <w:r w:rsidRPr="00420DF8">
              <w:rPr>
                <w:rFonts w:cstheme="minorHAnsi"/>
                <w:color w:val="000000" w:themeColor="text1"/>
              </w:rPr>
              <w:t xml:space="preserve">4.3.1 – Environmental Aspects – an </w:t>
            </w:r>
            <w:proofErr w:type="spellStart"/>
            <w:r w:rsidRPr="00420DF8">
              <w:rPr>
                <w:rFonts w:cstheme="minorHAnsi"/>
                <w:color w:val="000000" w:themeColor="text1"/>
              </w:rPr>
              <w:t>organisation</w:t>
            </w:r>
            <w:proofErr w:type="spellEnd"/>
            <w:r w:rsidRPr="00420DF8">
              <w:rPr>
                <w:rFonts w:cstheme="minorHAnsi"/>
                <w:color w:val="000000" w:themeColor="text1"/>
              </w:rPr>
              <w:t xml:space="preserve"> is to establish and maintain written procedures to identify and control significant environmental impacts as a result of the </w:t>
            </w:r>
            <w:proofErr w:type="spellStart"/>
            <w:r w:rsidRPr="00420DF8">
              <w:rPr>
                <w:rFonts w:cstheme="minorHAnsi"/>
                <w:color w:val="000000" w:themeColor="text1"/>
              </w:rPr>
              <w:t>organisations</w:t>
            </w:r>
            <w:proofErr w:type="spellEnd"/>
            <w:r w:rsidRPr="00420DF8">
              <w:rPr>
                <w:rFonts w:cstheme="minorHAnsi"/>
                <w:color w:val="000000" w:themeColor="text1"/>
              </w:rPr>
              <w:t xml:space="preserve"> products or activities. </w:t>
            </w:r>
          </w:p>
          <w:p w14:paraId="2789C29F" w14:textId="77777777" w:rsidR="00CC157D" w:rsidRPr="00420DF8" w:rsidRDefault="00CC157D" w:rsidP="00CC157D">
            <w:pPr>
              <w:outlineLvl w:val="1"/>
              <w:rPr>
                <w:rFonts w:cstheme="minorHAnsi"/>
                <w:color w:val="000000" w:themeColor="text1"/>
              </w:rPr>
            </w:pPr>
          </w:p>
          <w:p w14:paraId="6AFC2055" w14:textId="77777777" w:rsidR="00CC157D" w:rsidRDefault="00CC157D" w:rsidP="00CC157D">
            <w:pPr>
              <w:outlineLvl w:val="1"/>
              <w:rPr>
                <w:rFonts w:cstheme="minorHAnsi"/>
                <w:color w:val="000000" w:themeColor="text1"/>
              </w:rPr>
            </w:pPr>
            <w:r w:rsidRPr="00420DF8">
              <w:rPr>
                <w:rFonts w:eastAsia="Times New Roman" w:cstheme="minorHAnsi"/>
                <w:color w:val="000000" w:themeColor="text1"/>
                <w:lang w:eastAsia="en-GB"/>
              </w:rPr>
              <w:t xml:space="preserve">4.3.2 – Legal and other requirements – a company shall define how it will gain information about their requirements (Legal or otherwise) and how this will be given to those that need it. </w:t>
            </w:r>
          </w:p>
          <w:p w14:paraId="65713D29" w14:textId="77777777" w:rsidR="00CC157D" w:rsidRPr="00420DF8" w:rsidRDefault="00CC157D" w:rsidP="00CC157D">
            <w:pPr>
              <w:outlineLvl w:val="1"/>
              <w:rPr>
                <w:rFonts w:eastAsia="Times New Roman" w:cstheme="minorHAnsi"/>
                <w:color w:val="000000" w:themeColor="text1"/>
                <w:lang w:eastAsia="en-GB"/>
              </w:rPr>
            </w:pPr>
          </w:p>
          <w:p w14:paraId="44443778" w14:textId="77777777" w:rsidR="00CC157D" w:rsidRDefault="00CC157D" w:rsidP="00CC157D">
            <w:pPr>
              <w:outlineLvl w:val="1"/>
              <w:rPr>
                <w:rFonts w:cstheme="minorHAnsi"/>
                <w:color w:val="000000" w:themeColor="text1"/>
              </w:rPr>
            </w:pPr>
            <w:r w:rsidRPr="00420DF8">
              <w:rPr>
                <w:rFonts w:eastAsia="Times New Roman" w:cstheme="minorHAnsi"/>
                <w:color w:val="000000" w:themeColor="text1"/>
                <w:lang w:eastAsia="en-GB"/>
              </w:rPr>
              <w:t xml:space="preserve">4.3.3 – Targets and Objectives.  Based on the company policy statement the goals and objectives must be develop and should be where practicable me measurable, have milestone dates, nominate a person responsible for meeting these goals and have a definition of success. </w:t>
            </w:r>
          </w:p>
          <w:p w14:paraId="0810CDD0" w14:textId="77777777" w:rsidR="00CC157D" w:rsidRPr="00420DF8" w:rsidRDefault="00CC157D" w:rsidP="00CC157D">
            <w:pPr>
              <w:outlineLvl w:val="1"/>
              <w:rPr>
                <w:rFonts w:eastAsia="Times New Roman" w:cstheme="minorHAnsi"/>
                <w:color w:val="000000" w:themeColor="text1"/>
                <w:lang w:eastAsia="en-GB"/>
              </w:rPr>
            </w:pPr>
          </w:p>
          <w:p w14:paraId="07B46887" w14:textId="77777777" w:rsidR="00CC157D" w:rsidRPr="00420DF8" w:rsidRDefault="00CC157D" w:rsidP="00CC157D">
            <w:pPr>
              <w:rPr>
                <w:rFonts w:eastAsia="Times New Roman" w:cstheme="minorHAnsi"/>
                <w:color w:val="000000" w:themeColor="text1"/>
                <w:lang w:eastAsia="en-GB"/>
              </w:rPr>
            </w:pPr>
            <w:r w:rsidRPr="00420DF8">
              <w:rPr>
                <w:rFonts w:eastAsia="Times New Roman" w:cstheme="minorHAnsi"/>
                <w:color w:val="000000" w:themeColor="text1"/>
                <w:lang w:eastAsia="en-GB"/>
              </w:rPr>
              <w:t xml:space="preserve">4.4.1 – Structure and Responsibility – defining a management and accountability structure within the company including the responsibility of the senior manage to provide human, financial and material resources in order to achieve the goals and objectives set out. </w:t>
            </w:r>
          </w:p>
          <w:p w14:paraId="2F1AACDB" w14:textId="77777777" w:rsidR="00CC157D" w:rsidRPr="00420DF8" w:rsidRDefault="00CC157D" w:rsidP="00CC157D">
            <w:pPr>
              <w:rPr>
                <w:rFonts w:eastAsia="Times New Roman" w:cstheme="minorHAnsi"/>
                <w:color w:val="000000" w:themeColor="text1"/>
                <w:lang w:eastAsia="en-GB"/>
              </w:rPr>
            </w:pPr>
          </w:p>
          <w:p w14:paraId="2D660EAC" w14:textId="77777777" w:rsidR="00CC157D" w:rsidRPr="00420DF8" w:rsidRDefault="00CC157D" w:rsidP="00CC157D">
            <w:pPr>
              <w:rPr>
                <w:rFonts w:eastAsia="Times New Roman" w:cstheme="minorHAnsi"/>
                <w:color w:val="000000" w:themeColor="text1"/>
                <w:lang w:eastAsia="en-GB"/>
              </w:rPr>
            </w:pPr>
            <w:r w:rsidRPr="00420DF8">
              <w:rPr>
                <w:rFonts w:eastAsia="Times New Roman" w:cstheme="minorHAnsi"/>
                <w:color w:val="000000" w:themeColor="text1"/>
                <w:lang w:eastAsia="en-GB"/>
              </w:rPr>
              <w:lastRenderedPageBreak/>
              <w:t xml:space="preserve">4.4.2 – Competence and Training. – ensures all persons performing their tasks have an understanding of the impact of these on the environment. </w:t>
            </w:r>
          </w:p>
          <w:p w14:paraId="3F4DB068" w14:textId="77777777" w:rsidR="00CC157D" w:rsidRPr="00420DF8" w:rsidRDefault="00CC157D" w:rsidP="00CC157D">
            <w:pPr>
              <w:rPr>
                <w:rFonts w:eastAsia="Times New Roman" w:cstheme="minorHAnsi"/>
                <w:color w:val="000000" w:themeColor="text1"/>
                <w:lang w:eastAsia="en-GB"/>
              </w:rPr>
            </w:pPr>
          </w:p>
          <w:p w14:paraId="22754A0B" w14:textId="77777777" w:rsidR="00CC157D" w:rsidRPr="00420DF8" w:rsidRDefault="00CC157D" w:rsidP="00CC157D">
            <w:pPr>
              <w:rPr>
                <w:rFonts w:eastAsia="Times New Roman" w:cstheme="minorHAnsi"/>
                <w:color w:val="000000" w:themeColor="text1"/>
                <w:lang w:eastAsia="en-GB"/>
              </w:rPr>
            </w:pPr>
            <w:r w:rsidRPr="00420DF8">
              <w:rPr>
                <w:rFonts w:eastAsia="Times New Roman" w:cstheme="minorHAnsi"/>
                <w:color w:val="000000" w:themeColor="text1"/>
                <w:lang w:eastAsia="en-GB"/>
              </w:rPr>
              <w:t xml:space="preserve">4.4.3 – Communications – Procedure that details how external and internal communication will be completed. This must be documented. </w:t>
            </w:r>
          </w:p>
          <w:p w14:paraId="08A64DAF" w14:textId="77777777" w:rsidR="00CC157D" w:rsidRPr="00420DF8" w:rsidRDefault="00CC157D" w:rsidP="00CC157D">
            <w:pPr>
              <w:rPr>
                <w:rFonts w:eastAsia="Times New Roman" w:cstheme="minorHAnsi"/>
                <w:color w:val="000000" w:themeColor="text1"/>
                <w:lang w:eastAsia="en-GB"/>
              </w:rPr>
            </w:pPr>
          </w:p>
          <w:p w14:paraId="6EFEE333" w14:textId="77777777" w:rsidR="00CC157D" w:rsidRPr="00420DF8" w:rsidRDefault="00CC157D" w:rsidP="00CC157D">
            <w:pPr>
              <w:rPr>
                <w:rFonts w:eastAsia="Times New Roman" w:cstheme="minorHAnsi"/>
                <w:color w:val="000000" w:themeColor="text1"/>
                <w:lang w:eastAsia="en-GB"/>
              </w:rPr>
            </w:pPr>
            <w:r w:rsidRPr="00420DF8">
              <w:rPr>
                <w:rFonts w:eastAsia="Times New Roman" w:cstheme="minorHAnsi"/>
                <w:color w:val="000000" w:themeColor="text1"/>
                <w:lang w:eastAsia="en-GB"/>
              </w:rPr>
              <w:t>4.4.4 Environmental Management System Documentation – the Environmental Management System must be documented so that it can be verified as conforming to ISO 14001</w:t>
            </w:r>
          </w:p>
          <w:p w14:paraId="435F174F" w14:textId="77777777" w:rsidR="00CC157D" w:rsidRPr="00420DF8" w:rsidRDefault="00CC157D" w:rsidP="00CC157D">
            <w:pPr>
              <w:rPr>
                <w:rFonts w:eastAsia="Times New Roman" w:cstheme="minorHAnsi"/>
                <w:color w:val="000000" w:themeColor="text1"/>
                <w:lang w:eastAsia="en-GB"/>
              </w:rPr>
            </w:pPr>
          </w:p>
          <w:p w14:paraId="320E0E3D" w14:textId="77777777" w:rsidR="00CC157D" w:rsidRPr="00420DF8" w:rsidRDefault="00CC157D" w:rsidP="00CC157D">
            <w:pPr>
              <w:rPr>
                <w:rFonts w:eastAsia="Times New Roman" w:cstheme="minorHAnsi"/>
                <w:color w:val="000000" w:themeColor="text1"/>
                <w:lang w:eastAsia="en-GB"/>
              </w:rPr>
            </w:pPr>
            <w:r w:rsidRPr="00420DF8">
              <w:rPr>
                <w:rFonts w:eastAsia="Times New Roman" w:cstheme="minorHAnsi"/>
                <w:color w:val="000000" w:themeColor="text1"/>
                <w:lang w:eastAsia="en-GB"/>
              </w:rPr>
              <w:t>4.4.5 – Control of Documents – to ensure that documents are controlled, and current versions are distributed whilst out of date documentation is removed from the system.</w:t>
            </w:r>
          </w:p>
          <w:p w14:paraId="6044FA26" w14:textId="77777777" w:rsidR="00CC157D" w:rsidRPr="00420DF8" w:rsidRDefault="00CC157D" w:rsidP="00CC157D">
            <w:pPr>
              <w:rPr>
                <w:rFonts w:eastAsia="Times New Roman" w:cstheme="minorHAnsi"/>
                <w:color w:val="000000" w:themeColor="text1"/>
                <w:lang w:eastAsia="en-GB"/>
              </w:rPr>
            </w:pPr>
          </w:p>
          <w:p w14:paraId="513D624A" w14:textId="77777777" w:rsidR="00CC157D" w:rsidRDefault="00CC157D" w:rsidP="00CC157D">
            <w:pPr>
              <w:rPr>
                <w:rFonts w:cstheme="minorHAnsi"/>
                <w:color w:val="000000" w:themeColor="text1"/>
              </w:rPr>
            </w:pPr>
            <w:r w:rsidRPr="00420DF8">
              <w:rPr>
                <w:rFonts w:eastAsia="Times New Roman" w:cstheme="minorHAnsi"/>
                <w:color w:val="000000" w:themeColor="text1"/>
                <w:lang w:eastAsia="en-GB"/>
              </w:rPr>
              <w:t xml:space="preserve">4.4.6 – Operational Control – Identification of critical functions, significant aspects legal and other requirements </w:t>
            </w:r>
            <w:r w:rsidRPr="006A5172">
              <w:rPr>
                <w:rFonts w:eastAsia="Times New Roman" w:cstheme="minorHAnsi"/>
                <w:color w:val="000000" w:themeColor="text1"/>
                <w:lang w:eastAsia="en-GB"/>
              </w:rPr>
              <w:t>such that any need to provide instruction, or address significant impacts to environmental goals and objectives, may be addressed.</w:t>
            </w:r>
          </w:p>
          <w:p w14:paraId="3AF08C98" w14:textId="77777777" w:rsidR="00CC157D" w:rsidRPr="00420DF8" w:rsidRDefault="00CC157D" w:rsidP="00CC157D">
            <w:pPr>
              <w:rPr>
                <w:rFonts w:eastAsia="Times New Roman" w:cstheme="minorHAnsi"/>
                <w:color w:val="000000" w:themeColor="text1"/>
                <w:lang w:eastAsia="en-GB"/>
              </w:rPr>
            </w:pPr>
          </w:p>
          <w:p w14:paraId="394E89A5" w14:textId="77777777" w:rsidR="00CC157D" w:rsidRDefault="00CC157D" w:rsidP="00CC157D">
            <w:pPr>
              <w:outlineLvl w:val="2"/>
              <w:rPr>
                <w:rFonts w:cstheme="minorHAnsi"/>
                <w:color w:val="000000" w:themeColor="text1"/>
              </w:rPr>
            </w:pPr>
            <w:r w:rsidRPr="00420DF8">
              <w:rPr>
                <w:rFonts w:eastAsia="Times New Roman" w:cstheme="minorHAnsi"/>
                <w:color w:val="000000" w:themeColor="text1"/>
                <w:lang w:eastAsia="en-GB"/>
              </w:rPr>
              <w:t>4.4.7 - Emergency Preparedness and Response</w:t>
            </w:r>
            <w:r w:rsidRPr="00420DF8">
              <w:rPr>
                <w:rFonts w:eastAsia="Times New Roman" w:cstheme="minorHAnsi"/>
                <w:caps/>
                <w:color w:val="000000" w:themeColor="text1"/>
                <w:lang w:eastAsia="en-GB"/>
              </w:rPr>
              <w:t xml:space="preserve"> - </w:t>
            </w:r>
            <w:r w:rsidRPr="006A5172">
              <w:rPr>
                <w:rFonts w:eastAsia="Times New Roman" w:cstheme="minorHAnsi"/>
                <w:color w:val="000000" w:themeColor="text1"/>
                <w:lang w:eastAsia="en-GB"/>
              </w:rPr>
              <w:t xml:space="preserve">The </w:t>
            </w:r>
            <w:r w:rsidRPr="00420DF8">
              <w:rPr>
                <w:rFonts w:eastAsia="Times New Roman" w:cstheme="minorHAnsi"/>
                <w:color w:val="000000" w:themeColor="text1"/>
                <w:lang w:eastAsia="en-GB"/>
              </w:rPr>
              <w:t>company</w:t>
            </w:r>
            <w:r w:rsidRPr="006A5172">
              <w:rPr>
                <w:rFonts w:eastAsia="Times New Roman" w:cstheme="minorHAnsi"/>
                <w:color w:val="000000" w:themeColor="text1"/>
                <w:lang w:eastAsia="en-GB"/>
              </w:rPr>
              <w:t xml:space="preserve"> must establish a process for identifying potential emergencies and planning a response.</w:t>
            </w:r>
          </w:p>
          <w:p w14:paraId="15036466" w14:textId="77777777" w:rsidR="00CC157D" w:rsidRPr="006A5172" w:rsidRDefault="00CC157D" w:rsidP="00CC157D">
            <w:pPr>
              <w:outlineLvl w:val="2"/>
              <w:rPr>
                <w:rFonts w:eastAsia="Times New Roman" w:cstheme="minorHAnsi"/>
                <w:caps/>
                <w:color w:val="000000" w:themeColor="text1"/>
                <w:lang w:eastAsia="en-GB"/>
              </w:rPr>
            </w:pPr>
          </w:p>
          <w:p w14:paraId="3D9A5ED2" w14:textId="06DA8058" w:rsidR="00CC157D" w:rsidRDefault="00CC157D" w:rsidP="00CC157D">
            <w:pPr>
              <w:outlineLvl w:val="2"/>
              <w:rPr>
                <w:rFonts w:eastAsia="Times New Roman" w:cstheme="minorHAnsi"/>
                <w:color w:val="000000" w:themeColor="text1"/>
                <w:lang w:eastAsia="en-GB"/>
              </w:rPr>
            </w:pPr>
            <w:r w:rsidRPr="00420DF8">
              <w:rPr>
                <w:rFonts w:eastAsia="Times New Roman" w:cstheme="minorHAnsi"/>
                <w:color w:val="000000" w:themeColor="text1"/>
                <w:lang w:eastAsia="en-GB"/>
              </w:rPr>
              <w:t>4.5.1 - Monitoring and Measurement</w:t>
            </w:r>
            <w:r w:rsidRPr="00420DF8">
              <w:rPr>
                <w:rFonts w:eastAsia="Times New Roman" w:cstheme="minorHAnsi"/>
                <w:caps/>
                <w:color w:val="000000" w:themeColor="text1"/>
                <w:lang w:eastAsia="en-GB"/>
              </w:rPr>
              <w:t xml:space="preserve"> - </w:t>
            </w:r>
            <w:r w:rsidRPr="006A5172">
              <w:rPr>
                <w:rFonts w:eastAsia="Times New Roman" w:cstheme="minorHAnsi"/>
                <w:color w:val="000000" w:themeColor="text1"/>
                <w:lang w:eastAsia="en-GB"/>
              </w:rPr>
              <w:t>Procedures and methods for collecting data and measuring performance must be established such that conformity with goals, objectives and legal requirements can be established.</w:t>
            </w:r>
          </w:p>
          <w:p w14:paraId="077A738F" w14:textId="77777777" w:rsidR="00CC157D" w:rsidRPr="006A5172" w:rsidRDefault="00CC157D" w:rsidP="00CC157D">
            <w:pPr>
              <w:outlineLvl w:val="2"/>
              <w:rPr>
                <w:rFonts w:eastAsia="Times New Roman" w:cstheme="minorHAnsi"/>
                <w:color w:val="000000" w:themeColor="text1"/>
                <w:lang w:eastAsia="en-GB"/>
              </w:rPr>
            </w:pPr>
          </w:p>
          <w:p w14:paraId="37DB06F5" w14:textId="77777777" w:rsidR="00CC157D" w:rsidRDefault="00CC157D" w:rsidP="00CC157D">
            <w:pPr>
              <w:outlineLvl w:val="2"/>
              <w:rPr>
                <w:rFonts w:cstheme="minorHAnsi"/>
                <w:color w:val="000000" w:themeColor="text1"/>
              </w:rPr>
            </w:pPr>
            <w:r w:rsidRPr="00420DF8">
              <w:rPr>
                <w:rFonts w:eastAsia="Times New Roman" w:cstheme="minorHAnsi"/>
                <w:color w:val="000000" w:themeColor="text1"/>
                <w:lang w:eastAsia="en-GB"/>
              </w:rPr>
              <w:t>4.5.2 - Evaluation of Compliance</w:t>
            </w:r>
            <w:r w:rsidRPr="00420DF8">
              <w:rPr>
                <w:rFonts w:eastAsia="Times New Roman" w:cstheme="minorHAnsi"/>
                <w:caps/>
                <w:color w:val="000000" w:themeColor="text1"/>
                <w:lang w:eastAsia="en-GB"/>
              </w:rPr>
              <w:t xml:space="preserve"> - </w:t>
            </w:r>
            <w:r w:rsidRPr="006A5172">
              <w:rPr>
                <w:rFonts w:eastAsia="Times New Roman" w:cstheme="minorHAnsi"/>
                <w:color w:val="000000" w:themeColor="text1"/>
                <w:lang w:eastAsia="en-GB"/>
              </w:rPr>
              <w:t xml:space="preserve">The </w:t>
            </w:r>
            <w:r w:rsidRPr="00420DF8">
              <w:rPr>
                <w:rFonts w:eastAsia="Times New Roman" w:cstheme="minorHAnsi"/>
                <w:color w:val="000000" w:themeColor="text1"/>
                <w:lang w:eastAsia="en-GB"/>
              </w:rPr>
              <w:t>Company</w:t>
            </w:r>
            <w:r w:rsidRPr="006A5172">
              <w:rPr>
                <w:rFonts w:eastAsia="Times New Roman" w:cstheme="minorHAnsi"/>
                <w:color w:val="000000" w:themeColor="text1"/>
                <w:lang w:eastAsia="en-GB"/>
              </w:rPr>
              <w:t xml:space="preserve"> must periodically evaluate its compliance with applicable legal requirements, as well as the established goals and objectives, and document the periodic evaluations and their results.</w:t>
            </w:r>
          </w:p>
          <w:p w14:paraId="68A6C6EF" w14:textId="77777777" w:rsidR="00CC157D" w:rsidRPr="006A5172" w:rsidRDefault="00CC157D" w:rsidP="00CC157D">
            <w:pPr>
              <w:outlineLvl w:val="2"/>
              <w:rPr>
                <w:rFonts w:eastAsia="Times New Roman" w:cstheme="minorHAnsi"/>
                <w:caps/>
                <w:color w:val="000000" w:themeColor="text1"/>
                <w:lang w:eastAsia="en-GB"/>
              </w:rPr>
            </w:pPr>
          </w:p>
          <w:p w14:paraId="612AA82C" w14:textId="77777777" w:rsidR="00CC157D" w:rsidRDefault="00CC157D" w:rsidP="00CC157D">
            <w:pPr>
              <w:outlineLvl w:val="2"/>
              <w:rPr>
                <w:rFonts w:cstheme="minorHAnsi"/>
                <w:color w:val="000000" w:themeColor="text1"/>
              </w:rPr>
            </w:pPr>
            <w:r w:rsidRPr="00420DF8">
              <w:rPr>
                <w:rFonts w:eastAsia="Times New Roman" w:cstheme="minorHAnsi"/>
                <w:color w:val="000000" w:themeColor="text1"/>
                <w:lang w:eastAsia="en-GB"/>
              </w:rPr>
              <w:t>4.5.3 - Non-conformances, Corrective &amp; Preventive action</w:t>
            </w:r>
            <w:r w:rsidRPr="00420DF8">
              <w:rPr>
                <w:rFonts w:eastAsia="Times New Roman" w:cstheme="minorHAnsi"/>
                <w:caps/>
                <w:color w:val="000000" w:themeColor="text1"/>
                <w:lang w:eastAsia="en-GB"/>
              </w:rPr>
              <w:t xml:space="preserve"> - </w:t>
            </w:r>
            <w:r w:rsidRPr="006A5172">
              <w:rPr>
                <w:rFonts w:eastAsia="Times New Roman" w:cstheme="minorHAnsi"/>
                <w:color w:val="000000" w:themeColor="text1"/>
                <w:lang w:eastAsia="en-GB"/>
              </w:rPr>
              <w:t>Should a non-conformance situation occur, procedures for correcting the non-conformance, including preventative and containment actions, and including investigating to determine the cause, must have been established and documented.</w:t>
            </w:r>
          </w:p>
          <w:p w14:paraId="3C8288A9" w14:textId="77777777" w:rsidR="00CC157D" w:rsidRPr="006A5172" w:rsidRDefault="00CC157D" w:rsidP="00CC157D">
            <w:pPr>
              <w:outlineLvl w:val="2"/>
              <w:rPr>
                <w:rFonts w:eastAsia="Times New Roman" w:cstheme="minorHAnsi"/>
                <w:caps/>
                <w:color w:val="000000" w:themeColor="text1"/>
                <w:lang w:eastAsia="en-GB"/>
              </w:rPr>
            </w:pPr>
          </w:p>
          <w:p w14:paraId="76C18BB7" w14:textId="77777777" w:rsidR="00CC157D" w:rsidRDefault="00CC157D" w:rsidP="00CC157D">
            <w:pPr>
              <w:outlineLvl w:val="2"/>
              <w:rPr>
                <w:rFonts w:cstheme="minorHAnsi"/>
                <w:color w:val="000000" w:themeColor="text1"/>
              </w:rPr>
            </w:pPr>
            <w:r w:rsidRPr="00420DF8">
              <w:rPr>
                <w:rFonts w:eastAsia="Times New Roman" w:cstheme="minorHAnsi"/>
                <w:color w:val="000000" w:themeColor="text1"/>
                <w:lang w:eastAsia="en-GB"/>
              </w:rPr>
              <w:t>4.5.4 - Control of Records</w:t>
            </w:r>
            <w:r w:rsidRPr="00420DF8">
              <w:rPr>
                <w:rFonts w:eastAsia="Times New Roman" w:cstheme="minorHAnsi"/>
                <w:caps/>
                <w:color w:val="000000" w:themeColor="text1"/>
                <w:lang w:eastAsia="en-GB"/>
              </w:rPr>
              <w:t xml:space="preserve"> - </w:t>
            </w:r>
            <w:r w:rsidRPr="00420DF8">
              <w:rPr>
                <w:rFonts w:eastAsia="Times New Roman" w:cstheme="minorHAnsi"/>
                <w:color w:val="000000" w:themeColor="text1"/>
                <w:lang w:eastAsia="en-GB"/>
              </w:rPr>
              <w:t>Records (and Audit Records) must exist and be available to allow verification that the Environmental Management System is functioning properly, and that the Company is conforming to the requirements of ISO14000, it’s legal requirements and the companies established EMS requirements.</w:t>
            </w:r>
          </w:p>
          <w:p w14:paraId="7A19E0E4" w14:textId="77777777" w:rsidR="00CC157D" w:rsidRPr="006A5172" w:rsidRDefault="00CC157D" w:rsidP="00CC157D">
            <w:pPr>
              <w:outlineLvl w:val="2"/>
              <w:rPr>
                <w:rFonts w:eastAsia="Times New Roman" w:cstheme="minorHAnsi"/>
                <w:caps/>
                <w:color w:val="000000" w:themeColor="text1"/>
                <w:lang w:eastAsia="en-GB"/>
              </w:rPr>
            </w:pPr>
          </w:p>
          <w:p w14:paraId="4DD57CF2" w14:textId="77777777" w:rsidR="00CC157D" w:rsidRDefault="00CC157D" w:rsidP="00CC157D">
            <w:pPr>
              <w:outlineLvl w:val="2"/>
              <w:rPr>
                <w:rFonts w:cstheme="minorHAnsi"/>
                <w:color w:val="000000" w:themeColor="text1"/>
              </w:rPr>
            </w:pPr>
            <w:r w:rsidRPr="00420DF8">
              <w:rPr>
                <w:rFonts w:eastAsia="Times New Roman" w:cstheme="minorHAnsi"/>
                <w:color w:val="000000" w:themeColor="text1"/>
                <w:lang w:eastAsia="en-GB"/>
              </w:rPr>
              <w:t>4.5.5 - internal audit</w:t>
            </w:r>
            <w:r w:rsidRPr="00420DF8">
              <w:rPr>
                <w:rFonts w:eastAsia="Times New Roman" w:cstheme="minorHAnsi"/>
                <w:caps/>
                <w:color w:val="000000" w:themeColor="text1"/>
                <w:lang w:eastAsia="en-GB"/>
              </w:rPr>
              <w:t xml:space="preserve"> </w:t>
            </w:r>
            <w:r w:rsidRPr="00420DF8">
              <w:rPr>
                <w:rFonts w:eastAsia="Times New Roman" w:cstheme="minorHAnsi"/>
                <w:color w:val="000000" w:themeColor="text1"/>
                <w:lang w:eastAsia="en-GB"/>
              </w:rPr>
              <w:t xml:space="preserve">- Internal audits of the EMS must be conducted and documented to ensure conformance to ISO 14001 requirements </w:t>
            </w:r>
          </w:p>
          <w:p w14:paraId="12271BF8" w14:textId="77777777" w:rsidR="00CC157D" w:rsidRPr="006A5172" w:rsidRDefault="00CC157D" w:rsidP="00CC157D">
            <w:pPr>
              <w:outlineLvl w:val="2"/>
              <w:rPr>
                <w:rFonts w:eastAsia="Times New Roman" w:cstheme="minorHAnsi"/>
                <w:caps/>
                <w:color w:val="000000" w:themeColor="text1"/>
                <w:lang w:eastAsia="en-GB"/>
              </w:rPr>
            </w:pPr>
          </w:p>
          <w:p w14:paraId="0168BA96" w14:textId="77777777" w:rsidR="00CC157D" w:rsidRPr="006A5172" w:rsidRDefault="00CC157D" w:rsidP="00CC157D">
            <w:pPr>
              <w:outlineLvl w:val="2"/>
              <w:rPr>
                <w:rFonts w:eastAsia="Times New Roman" w:cstheme="minorHAnsi"/>
                <w:caps/>
                <w:color w:val="000000" w:themeColor="text1"/>
                <w:lang w:eastAsia="en-GB"/>
              </w:rPr>
            </w:pPr>
            <w:r w:rsidRPr="00420DF8">
              <w:rPr>
                <w:rFonts w:eastAsia="Times New Roman" w:cstheme="minorHAnsi"/>
                <w:color w:val="000000" w:themeColor="text1"/>
                <w:lang w:eastAsia="en-GB"/>
              </w:rPr>
              <w:t>4.6 – Management Review</w:t>
            </w:r>
            <w:r w:rsidRPr="00420DF8">
              <w:rPr>
                <w:rFonts w:eastAsia="Times New Roman" w:cstheme="minorHAnsi"/>
                <w:caps/>
                <w:color w:val="000000" w:themeColor="text1"/>
                <w:lang w:eastAsia="en-GB"/>
              </w:rPr>
              <w:t xml:space="preserve"> – </w:t>
            </w:r>
            <w:r w:rsidRPr="00420DF8">
              <w:rPr>
                <w:rFonts w:eastAsia="Times New Roman" w:cstheme="minorHAnsi"/>
                <w:color w:val="000000" w:themeColor="text1"/>
                <w:lang w:eastAsia="en-GB"/>
              </w:rPr>
              <w:t>Senior management must periodically review the EMS to ensure it is functioning in accordance with the established policy and plan.</w:t>
            </w:r>
          </w:p>
          <w:p w14:paraId="29CAB687" w14:textId="77777777" w:rsidR="00CC157D" w:rsidRDefault="00CC157D" w:rsidP="00CC157D">
            <w:pPr>
              <w:outlineLvl w:val="1"/>
              <w:rPr>
                <w:rFonts w:cstheme="minorHAnsi"/>
                <w:color w:val="000000" w:themeColor="text1"/>
              </w:rPr>
            </w:pPr>
            <w:r w:rsidRPr="006A5172">
              <w:rPr>
                <w:rFonts w:eastAsia="Times New Roman" w:cstheme="minorHAnsi"/>
                <w:color w:val="000000" w:themeColor="text1"/>
                <w:lang w:eastAsia="en-GB"/>
              </w:rPr>
              <w:t>Benefits of ISO 14001</w:t>
            </w:r>
          </w:p>
          <w:p w14:paraId="60C92F0F" w14:textId="77777777" w:rsidR="00CC157D" w:rsidRPr="00420DF8" w:rsidRDefault="00CC157D" w:rsidP="00CC157D">
            <w:pPr>
              <w:autoSpaceDE w:val="0"/>
              <w:autoSpaceDN w:val="0"/>
              <w:adjustRightInd w:val="0"/>
              <w:rPr>
                <w:rFonts w:cstheme="minorHAnsi"/>
                <w:color w:val="000000" w:themeColor="text1"/>
              </w:rPr>
            </w:pPr>
            <w:r>
              <w:rPr>
                <w:rFonts w:cstheme="minorHAnsi"/>
                <w:noProof/>
                <w:color w:val="000000" w:themeColor="text1"/>
                <w:shd w:val="clear" w:color="auto" w:fill="FFFFFF"/>
              </w:rPr>
              <w:drawing>
                <wp:anchor distT="0" distB="0" distL="114300" distR="114300" simplePos="0" relativeHeight="251662336" behindDoc="0" locked="0" layoutInCell="1" allowOverlap="1" wp14:anchorId="5E24F546" wp14:editId="4AE2696D">
                  <wp:simplePos x="0" y="0"/>
                  <wp:positionH relativeFrom="column">
                    <wp:posOffset>4367343</wp:posOffset>
                  </wp:positionH>
                  <wp:positionV relativeFrom="paragraph">
                    <wp:posOffset>157396</wp:posOffset>
                  </wp:positionV>
                  <wp:extent cx="1551482" cy="1596452"/>
                  <wp:effectExtent l="12700" t="0" r="0" b="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14:paraId="211F4BDF" w14:textId="77777777" w:rsidR="00CC157D" w:rsidRPr="009F45F2" w:rsidRDefault="00CC157D" w:rsidP="00CC157D">
            <w:pPr>
              <w:pStyle w:val="ListParagraph"/>
              <w:autoSpaceDE w:val="0"/>
              <w:autoSpaceDN w:val="0"/>
              <w:adjustRightInd w:val="0"/>
              <w:ind w:left="0"/>
              <w:rPr>
                <w:rFonts w:asciiTheme="minorHAnsi" w:hAnsiTheme="minorHAnsi" w:cstheme="minorHAnsi"/>
                <w:b/>
                <w:bCs/>
                <w:color w:val="000000" w:themeColor="text1"/>
              </w:rPr>
            </w:pPr>
            <w:r w:rsidRPr="009F45F2">
              <w:rPr>
                <w:rFonts w:asciiTheme="minorHAnsi" w:hAnsiTheme="minorHAnsi" w:cstheme="minorHAnsi"/>
                <w:b/>
                <w:bCs/>
                <w:color w:val="000000" w:themeColor="text1"/>
              </w:rPr>
              <w:t>Question 2 Briefly explain PDCA (PLAN-DO-CHECK-ACT) model. (6)</w:t>
            </w:r>
          </w:p>
          <w:p w14:paraId="48AE7E15" w14:textId="77777777" w:rsidR="00CC157D" w:rsidRDefault="00CC157D" w:rsidP="00CC157D">
            <w:pPr>
              <w:rPr>
                <w:rFonts w:ascii="Arial" w:hAnsi="Arial" w:cs="Arial"/>
                <w:b/>
                <w:bCs/>
                <w:color w:val="222222"/>
              </w:rPr>
            </w:pPr>
          </w:p>
          <w:p w14:paraId="6927BDD3" w14:textId="77777777" w:rsidR="00CC157D" w:rsidRDefault="00CC157D" w:rsidP="00CC157D">
            <w:pPr>
              <w:ind w:right="2216"/>
              <w:rPr>
                <w:rFonts w:cstheme="minorHAnsi"/>
                <w:color w:val="000000" w:themeColor="text1"/>
                <w:shd w:val="clear" w:color="auto" w:fill="FFFFFF"/>
              </w:rPr>
            </w:pPr>
            <w:r>
              <w:rPr>
                <w:rFonts w:cstheme="minorHAnsi"/>
                <w:color w:val="000000" w:themeColor="text1"/>
              </w:rPr>
              <w:t xml:space="preserve">The PLAN-DO-CHECK-ACT cycle is a four-step model for carrying out change.  The concept is that as a circle has no end, the PDCA Cycle can be and should be repeated over and over again. </w:t>
            </w:r>
            <w:r w:rsidRPr="00135FDD">
              <w:rPr>
                <w:rFonts w:cstheme="minorHAnsi"/>
                <w:color w:val="000000" w:themeColor="text1"/>
                <w:shd w:val="clear" w:color="auto" w:fill="FFFFFF"/>
              </w:rPr>
              <w:t>It is an essential part of the lean manufacturing philosophy and a key prerequisite for continuous improvement of people and processes. ... </w:t>
            </w:r>
            <w:r w:rsidRPr="00135FDD">
              <w:rPr>
                <w:rFonts w:cstheme="minorHAnsi"/>
                <w:color w:val="000000" w:themeColor="text1"/>
              </w:rPr>
              <w:t>PDCA</w:t>
            </w:r>
            <w:r w:rsidRPr="00135FDD">
              <w:rPr>
                <w:rFonts w:cstheme="minorHAnsi"/>
                <w:color w:val="000000" w:themeColor="text1"/>
                <w:shd w:val="clear" w:color="auto" w:fill="FFFFFF"/>
              </w:rPr>
              <w:t xml:space="preserve"> is a simple four-stage </w:t>
            </w:r>
            <w:r w:rsidRPr="00135FDD">
              <w:rPr>
                <w:rFonts w:cstheme="minorHAnsi"/>
                <w:color w:val="000000" w:themeColor="text1"/>
                <w:shd w:val="clear" w:color="auto" w:fill="FFFFFF"/>
              </w:rPr>
              <w:lastRenderedPageBreak/>
              <w:t>method that enables teams </w:t>
            </w:r>
            <w:r w:rsidRPr="00135FDD">
              <w:rPr>
                <w:rFonts w:cstheme="minorHAnsi"/>
                <w:color w:val="000000" w:themeColor="text1"/>
              </w:rPr>
              <w:t>to</w:t>
            </w:r>
            <w:r w:rsidRPr="00135FDD">
              <w:rPr>
                <w:rFonts w:cstheme="minorHAnsi"/>
                <w:color w:val="000000" w:themeColor="text1"/>
                <w:shd w:val="clear" w:color="auto" w:fill="FFFFFF"/>
              </w:rPr>
              <w:t> avoid recurring mistakes and improve processes.</w:t>
            </w:r>
          </w:p>
          <w:p w14:paraId="34AA2B75" w14:textId="77777777" w:rsidR="00CC157D" w:rsidRDefault="00CC157D" w:rsidP="00CC157D">
            <w:pPr>
              <w:rPr>
                <w:rFonts w:cstheme="minorHAnsi"/>
                <w:color w:val="000000" w:themeColor="text1"/>
                <w:shd w:val="clear" w:color="auto" w:fill="FFFFFF"/>
              </w:rPr>
            </w:pPr>
          </w:p>
          <w:p w14:paraId="7F51FF3E" w14:textId="77777777" w:rsidR="00CC157D" w:rsidRPr="009F45F2" w:rsidRDefault="00CC157D" w:rsidP="00CC157D">
            <w:pPr>
              <w:pStyle w:val="ListParagraph"/>
              <w:autoSpaceDE w:val="0"/>
              <w:autoSpaceDN w:val="0"/>
              <w:adjustRightInd w:val="0"/>
              <w:ind w:left="0"/>
              <w:rPr>
                <w:rFonts w:asciiTheme="minorHAnsi" w:hAnsiTheme="minorHAnsi" w:cstheme="minorHAnsi"/>
                <w:b/>
                <w:bCs/>
                <w:color w:val="000000" w:themeColor="text1"/>
              </w:rPr>
            </w:pPr>
            <w:r w:rsidRPr="009F45F2">
              <w:rPr>
                <w:rFonts w:asciiTheme="minorHAnsi" w:hAnsiTheme="minorHAnsi" w:cstheme="minorHAnsi"/>
                <w:b/>
                <w:bCs/>
                <w:color w:val="000000" w:themeColor="text1"/>
              </w:rPr>
              <w:t>Question 3 Draw and explain Environmental Valuation Methods. (6)</w:t>
            </w:r>
          </w:p>
          <w:p w14:paraId="07B9E244" w14:textId="77777777" w:rsidR="00CC157D" w:rsidRDefault="00CC157D" w:rsidP="00CC157D">
            <w:pPr>
              <w:autoSpaceDE w:val="0"/>
              <w:autoSpaceDN w:val="0"/>
              <w:adjustRightInd w:val="0"/>
              <w:rPr>
                <w:rFonts w:cstheme="minorHAnsi"/>
                <w:color w:val="000000" w:themeColor="text1"/>
              </w:rPr>
            </w:pPr>
          </w:p>
          <w:p w14:paraId="0129FE2F" w14:textId="77777777" w:rsidR="00CC157D" w:rsidRDefault="00CC157D" w:rsidP="00CC157D">
            <w:pPr>
              <w:autoSpaceDE w:val="0"/>
              <w:autoSpaceDN w:val="0"/>
              <w:adjustRightInd w:val="0"/>
              <w:rPr>
                <w:rFonts w:cstheme="minorHAnsi"/>
                <w:color w:val="000000" w:themeColor="text1"/>
              </w:rPr>
            </w:pPr>
            <w:r>
              <w:rPr>
                <w:rFonts w:cstheme="minorHAnsi"/>
                <w:color w:val="000000" w:themeColor="text1"/>
              </w:rPr>
              <w:t>Environmental valuation is a way of determining, based on the value of its individual parts, the value of an ecological system.</w:t>
            </w:r>
          </w:p>
          <w:p w14:paraId="4308FC62" w14:textId="77777777" w:rsidR="00CC157D" w:rsidRDefault="00CC157D" w:rsidP="00CC157D">
            <w:pPr>
              <w:autoSpaceDE w:val="0"/>
              <w:autoSpaceDN w:val="0"/>
              <w:adjustRightInd w:val="0"/>
              <w:rPr>
                <w:rFonts w:cstheme="minorHAnsi"/>
                <w:color w:val="000000" w:themeColor="text1"/>
              </w:rPr>
            </w:pPr>
          </w:p>
          <w:p w14:paraId="4AC714FE" w14:textId="77777777" w:rsidR="00CC157D" w:rsidRDefault="00CC157D" w:rsidP="00CC157D">
            <w:pPr>
              <w:autoSpaceDE w:val="0"/>
              <w:autoSpaceDN w:val="0"/>
              <w:adjustRightInd w:val="0"/>
              <w:rPr>
                <w:rFonts w:cstheme="minorHAnsi"/>
                <w:color w:val="000000" w:themeColor="text1"/>
              </w:rPr>
            </w:pPr>
            <w:r>
              <w:rPr>
                <w:rFonts w:cstheme="minorHAnsi"/>
                <w:color w:val="000000" w:themeColor="text1"/>
              </w:rPr>
              <w:t>This is in part the willingness of consumers to pay for products based on their production methods, and the environmental impact on this.  This is referred to as Market Methods.  There are three market-based techniques:</w:t>
            </w:r>
          </w:p>
          <w:p w14:paraId="527D2DF6" w14:textId="77777777" w:rsidR="00CC157D" w:rsidRDefault="00CC157D" w:rsidP="00CC157D">
            <w:pPr>
              <w:autoSpaceDE w:val="0"/>
              <w:autoSpaceDN w:val="0"/>
              <w:adjustRightInd w:val="0"/>
              <w:rPr>
                <w:rFonts w:cstheme="minorHAnsi"/>
                <w:color w:val="000000" w:themeColor="text1"/>
              </w:rPr>
            </w:pPr>
          </w:p>
          <w:p w14:paraId="27592078" w14:textId="77777777" w:rsidR="00CC157D" w:rsidRDefault="00CC157D" w:rsidP="00CC157D">
            <w:pPr>
              <w:pStyle w:val="ListParagraph"/>
              <w:numPr>
                <w:ilvl w:val="0"/>
                <w:numId w:val="2"/>
              </w:numPr>
              <w:autoSpaceDE w:val="0"/>
              <w:autoSpaceDN w:val="0"/>
              <w:adjustRightInd w:val="0"/>
              <w:ind w:left="0" w:firstLine="0"/>
              <w:rPr>
                <w:rFonts w:asciiTheme="minorHAnsi" w:hAnsiTheme="minorHAnsi" w:cstheme="minorHAnsi"/>
                <w:color w:val="000000" w:themeColor="text1"/>
              </w:rPr>
            </w:pPr>
            <w:r>
              <w:rPr>
                <w:rFonts w:asciiTheme="minorHAnsi" w:hAnsiTheme="minorHAnsi" w:cstheme="minorHAnsi"/>
                <w:color w:val="000000" w:themeColor="text1"/>
              </w:rPr>
              <w:t>Factor of production approach</w:t>
            </w:r>
          </w:p>
          <w:p w14:paraId="213F56DD" w14:textId="77777777" w:rsidR="00CC157D" w:rsidRDefault="00CC157D" w:rsidP="00CC157D">
            <w:pPr>
              <w:pStyle w:val="ListParagraph"/>
              <w:numPr>
                <w:ilvl w:val="0"/>
                <w:numId w:val="2"/>
              </w:numPr>
              <w:autoSpaceDE w:val="0"/>
              <w:autoSpaceDN w:val="0"/>
              <w:adjustRightInd w:val="0"/>
              <w:ind w:left="0" w:firstLine="0"/>
              <w:rPr>
                <w:rFonts w:asciiTheme="minorHAnsi" w:hAnsiTheme="minorHAnsi" w:cstheme="minorHAnsi"/>
                <w:color w:val="000000" w:themeColor="text1"/>
              </w:rPr>
            </w:pPr>
            <w:r>
              <w:rPr>
                <w:rFonts w:asciiTheme="minorHAnsi" w:hAnsiTheme="minorHAnsi" w:cstheme="minorHAnsi"/>
                <w:color w:val="000000" w:themeColor="text1"/>
              </w:rPr>
              <w:t>Change in producer / consumer surplus</w:t>
            </w:r>
          </w:p>
          <w:p w14:paraId="15F429C4" w14:textId="77777777" w:rsidR="00CC157D" w:rsidRPr="009B53D7" w:rsidRDefault="00CC157D" w:rsidP="00CC157D">
            <w:pPr>
              <w:pStyle w:val="ListParagraph"/>
              <w:numPr>
                <w:ilvl w:val="0"/>
                <w:numId w:val="2"/>
              </w:numPr>
              <w:autoSpaceDE w:val="0"/>
              <w:autoSpaceDN w:val="0"/>
              <w:adjustRightInd w:val="0"/>
              <w:ind w:left="0" w:firstLine="0"/>
              <w:rPr>
                <w:rFonts w:asciiTheme="minorHAnsi" w:hAnsiTheme="minorHAnsi" w:cstheme="minorHAnsi"/>
                <w:color w:val="000000" w:themeColor="text1"/>
              </w:rPr>
            </w:pPr>
            <w:r>
              <w:rPr>
                <w:rFonts w:asciiTheme="minorHAnsi" w:hAnsiTheme="minorHAnsi" w:cstheme="minorHAnsi"/>
                <w:color w:val="000000" w:themeColor="text1"/>
              </w:rPr>
              <w:t xml:space="preserve">Examination of defensive expenditure – e.g. insurance. </w:t>
            </w:r>
          </w:p>
          <w:p w14:paraId="52F2F0A3" w14:textId="77777777" w:rsidR="00CC157D" w:rsidRDefault="00CC157D" w:rsidP="00CC157D">
            <w:pPr>
              <w:autoSpaceDE w:val="0"/>
              <w:autoSpaceDN w:val="0"/>
              <w:adjustRightInd w:val="0"/>
              <w:rPr>
                <w:rFonts w:cstheme="minorHAnsi"/>
                <w:color w:val="000000" w:themeColor="text1"/>
              </w:rPr>
            </w:pPr>
          </w:p>
          <w:p w14:paraId="4D066C0A" w14:textId="77777777" w:rsidR="00CC157D" w:rsidRDefault="00CC157D" w:rsidP="00CC157D">
            <w:pPr>
              <w:autoSpaceDE w:val="0"/>
              <w:autoSpaceDN w:val="0"/>
              <w:adjustRightInd w:val="0"/>
              <w:rPr>
                <w:rFonts w:cstheme="minorHAnsi"/>
                <w:color w:val="000000" w:themeColor="text1"/>
              </w:rPr>
            </w:pPr>
            <w:r>
              <w:rPr>
                <w:rFonts w:cstheme="minorHAnsi"/>
                <w:color w:val="000000" w:themeColor="text1"/>
              </w:rPr>
              <w:t>Non-Market goods and services (Existence Values) – items that may not be directly bought and sold on the marketplace for example scenic views, coral reef, biodiversity.  These cannot be measured in terms of market and generally based on the motives of the individual.</w:t>
            </w:r>
          </w:p>
          <w:p w14:paraId="0A6B98C6" w14:textId="77777777" w:rsidR="00CC157D" w:rsidRDefault="00CC157D" w:rsidP="00CC157D">
            <w:pPr>
              <w:autoSpaceDE w:val="0"/>
              <w:autoSpaceDN w:val="0"/>
              <w:adjustRightInd w:val="0"/>
              <w:rPr>
                <w:rFonts w:cstheme="minorHAnsi"/>
                <w:color w:val="000000" w:themeColor="text1"/>
              </w:rPr>
            </w:pPr>
          </w:p>
          <w:p w14:paraId="5CD08EF0" w14:textId="77777777" w:rsidR="00CC157D" w:rsidRDefault="00CC157D" w:rsidP="00CC157D">
            <w:pPr>
              <w:autoSpaceDE w:val="0"/>
              <w:autoSpaceDN w:val="0"/>
              <w:adjustRightInd w:val="0"/>
              <w:rPr>
                <w:rFonts w:cstheme="minorHAnsi"/>
                <w:color w:val="000000" w:themeColor="text1"/>
              </w:rPr>
            </w:pPr>
            <w:r>
              <w:rPr>
                <w:rFonts w:cstheme="minorHAnsi"/>
                <w:color w:val="000000" w:themeColor="text1"/>
              </w:rPr>
              <w:t xml:space="preserve">Hedonic Price Method – most common one is Real Estate, the environment in particular noise air and water pollution have direct impacts on the price of property, therefore comparing prices of similar properties not affected by noise, air and water pollution will show the price of environmental value. </w:t>
            </w:r>
          </w:p>
          <w:p w14:paraId="48087111" w14:textId="77777777" w:rsidR="00CC157D" w:rsidRDefault="00CC157D" w:rsidP="00CC157D">
            <w:pPr>
              <w:autoSpaceDE w:val="0"/>
              <w:autoSpaceDN w:val="0"/>
              <w:adjustRightInd w:val="0"/>
              <w:rPr>
                <w:rFonts w:cstheme="minorHAnsi"/>
                <w:color w:val="000000" w:themeColor="text1"/>
              </w:rPr>
            </w:pPr>
          </w:p>
          <w:p w14:paraId="06E677E4" w14:textId="77777777" w:rsidR="00CC157D" w:rsidRDefault="00CC157D" w:rsidP="00CC157D">
            <w:pPr>
              <w:autoSpaceDE w:val="0"/>
              <w:autoSpaceDN w:val="0"/>
              <w:adjustRightInd w:val="0"/>
              <w:rPr>
                <w:rFonts w:cstheme="minorHAnsi"/>
                <w:color w:val="000000" w:themeColor="text1"/>
              </w:rPr>
            </w:pPr>
            <w:r>
              <w:rPr>
                <w:rFonts w:cstheme="minorHAnsi"/>
                <w:color w:val="000000" w:themeColor="text1"/>
              </w:rPr>
              <w:t xml:space="preserve">Travel Cost Method – how much people are willing to pay in both time and money to enjoy a natural beauty spot or recreational site.  </w:t>
            </w:r>
          </w:p>
          <w:p w14:paraId="529209B8" w14:textId="77777777" w:rsidR="00CC157D" w:rsidRDefault="00CC157D" w:rsidP="00CC157D">
            <w:pPr>
              <w:autoSpaceDE w:val="0"/>
              <w:autoSpaceDN w:val="0"/>
              <w:adjustRightInd w:val="0"/>
              <w:rPr>
                <w:rFonts w:cstheme="minorHAnsi"/>
                <w:color w:val="000000" w:themeColor="text1"/>
              </w:rPr>
            </w:pPr>
          </w:p>
          <w:p w14:paraId="478BB1E8" w14:textId="77777777" w:rsidR="00CC157D" w:rsidRPr="004C00F6" w:rsidRDefault="00CC157D" w:rsidP="00CC157D">
            <w:r w:rsidRPr="004C00F6">
              <w:fldChar w:fldCharType="begin"/>
            </w:r>
            <w:r w:rsidRPr="004C00F6">
              <w:instrText xml:space="preserve"> INCLUDEPICTURE "/var/folders/lp/_mz4459s7z1_1rrxl_m68k3w0000gn/T/com.microsoft.Word/WebArchiveCopyPasteTempFiles/image002.gif" \* MERGEFORMATINET </w:instrText>
            </w:r>
            <w:r w:rsidRPr="004C00F6">
              <w:fldChar w:fldCharType="separate"/>
            </w:r>
            <w:r w:rsidRPr="004C00F6">
              <w:rPr>
                <w:noProof/>
              </w:rPr>
              <w:drawing>
                <wp:inline distT="0" distB="0" distL="0" distR="0" wp14:anchorId="6AF3631F" wp14:editId="162E8504">
                  <wp:extent cx="5711190" cy="2967990"/>
                  <wp:effectExtent l="0" t="0" r="3810" b="3810"/>
                  <wp:docPr id="3" name="Picture 3" descr="Image result for Environmental valuation method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nvironmental valuation method drawi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1190" cy="2967990"/>
                          </a:xfrm>
                          <a:prstGeom prst="rect">
                            <a:avLst/>
                          </a:prstGeom>
                          <a:noFill/>
                          <a:ln>
                            <a:noFill/>
                          </a:ln>
                        </pic:spPr>
                      </pic:pic>
                    </a:graphicData>
                  </a:graphic>
                </wp:inline>
              </w:drawing>
            </w:r>
            <w:r w:rsidRPr="004C00F6">
              <w:fldChar w:fldCharType="end"/>
            </w:r>
          </w:p>
          <w:p w14:paraId="5534F7DB" w14:textId="77777777" w:rsidR="00CC157D" w:rsidRPr="004C00F6" w:rsidRDefault="00CC157D" w:rsidP="00CC157D">
            <w:pPr>
              <w:autoSpaceDE w:val="0"/>
              <w:autoSpaceDN w:val="0"/>
              <w:adjustRightInd w:val="0"/>
              <w:rPr>
                <w:rFonts w:cstheme="minorHAnsi"/>
                <w:i/>
                <w:iCs/>
                <w:color w:val="000000" w:themeColor="text1"/>
                <w:sz w:val="16"/>
                <w:szCs w:val="16"/>
              </w:rPr>
            </w:pPr>
          </w:p>
          <w:p w14:paraId="6C157FF2" w14:textId="77777777" w:rsidR="00CC157D" w:rsidRPr="004C00F6" w:rsidRDefault="00CC157D" w:rsidP="00CC157D">
            <w:pPr>
              <w:autoSpaceDE w:val="0"/>
              <w:autoSpaceDN w:val="0"/>
              <w:adjustRightInd w:val="0"/>
              <w:rPr>
                <w:rFonts w:cstheme="minorHAnsi"/>
                <w:i/>
                <w:iCs/>
                <w:color w:val="000000" w:themeColor="text1"/>
                <w:sz w:val="16"/>
                <w:szCs w:val="16"/>
              </w:rPr>
            </w:pPr>
            <w:r w:rsidRPr="004C00F6">
              <w:rPr>
                <w:rFonts w:cstheme="minorHAnsi"/>
                <w:i/>
                <w:iCs/>
                <w:color w:val="000000" w:themeColor="text1"/>
                <w:sz w:val="16"/>
                <w:szCs w:val="16"/>
              </w:rPr>
              <w:t>https://msu.edu/user/schmid/mishra.htm</w:t>
            </w:r>
          </w:p>
          <w:p w14:paraId="0FDA5CA1" w14:textId="77777777" w:rsidR="00CC157D" w:rsidRDefault="00CC157D" w:rsidP="00CC157D">
            <w:pPr>
              <w:autoSpaceDE w:val="0"/>
              <w:autoSpaceDN w:val="0"/>
              <w:adjustRightInd w:val="0"/>
              <w:rPr>
                <w:rFonts w:cstheme="minorHAnsi"/>
                <w:color w:val="000000" w:themeColor="text1"/>
              </w:rPr>
            </w:pPr>
          </w:p>
          <w:p w14:paraId="47204DC0" w14:textId="77777777" w:rsidR="00CC157D" w:rsidRPr="009F45F2" w:rsidRDefault="00CC157D" w:rsidP="00CC157D">
            <w:pPr>
              <w:pStyle w:val="ListParagraph"/>
              <w:ind w:left="0"/>
              <w:rPr>
                <w:rFonts w:asciiTheme="minorHAnsi" w:hAnsiTheme="minorHAnsi" w:cstheme="minorHAnsi"/>
                <w:b/>
                <w:bCs/>
              </w:rPr>
            </w:pPr>
            <w:r w:rsidRPr="009F45F2">
              <w:rPr>
                <w:rFonts w:asciiTheme="minorHAnsi" w:hAnsiTheme="minorHAnsi" w:cstheme="minorHAnsi"/>
                <w:b/>
                <w:bCs/>
                <w:color w:val="000000" w:themeColor="text1"/>
              </w:rPr>
              <w:t>Question 5: What a</w:t>
            </w:r>
            <w:r w:rsidRPr="009F45F2">
              <w:rPr>
                <w:rFonts w:asciiTheme="minorHAnsi" w:hAnsiTheme="minorHAnsi" w:cstheme="minorHAnsi"/>
                <w:b/>
                <w:bCs/>
                <w:color w:val="000000"/>
                <w:sz w:val="24"/>
                <w:szCs w:val="24"/>
              </w:rPr>
              <w:t>re various forms of environmental accounting?</w:t>
            </w:r>
          </w:p>
          <w:p w14:paraId="3D53A09B" w14:textId="77777777" w:rsidR="00CC157D" w:rsidRDefault="00CC157D" w:rsidP="00CC157D">
            <w:pPr>
              <w:pStyle w:val="NormalWeb"/>
              <w:spacing w:before="0" w:beforeAutospacing="0" w:after="0" w:afterAutospacing="0"/>
              <w:textAlignment w:val="baseline"/>
              <w:rPr>
                <w:rFonts w:asciiTheme="minorHAnsi" w:hAnsiTheme="minorHAnsi" w:cstheme="minorHAnsi"/>
                <w:color w:val="000000" w:themeColor="text1"/>
                <w:sz w:val="22"/>
                <w:szCs w:val="22"/>
              </w:rPr>
            </w:pPr>
          </w:p>
          <w:p w14:paraId="4C453CB0" w14:textId="77777777" w:rsidR="00CC157D" w:rsidRDefault="00CC157D" w:rsidP="00CC157D">
            <w:pPr>
              <w:pStyle w:val="NormalWeb"/>
              <w:spacing w:before="0" w:beforeAutospacing="0" w:after="0" w:afterAutospacing="0"/>
              <w:textAlignment w:val="baseline"/>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There are three generally accepted methods for environmental accounting:</w:t>
            </w:r>
            <w:r w:rsidRPr="009F45F2">
              <w:rPr>
                <w:rFonts w:asciiTheme="minorHAnsi" w:hAnsiTheme="minorHAnsi" w:cstheme="minorHAnsi"/>
                <w:color w:val="000000" w:themeColor="text1"/>
                <w:sz w:val="22"/>
                <w:szCs w:val="22"/>
              </w:rPr>
              <w:t xml:space="preserve"> </w:t>
            </w:r>
          </w:p>
          <w:p w14:paraId="173618BC" w14:textId="77777777" w:rsidR="00CC157D" w:rsidRDefault="00CC157D" w:rsidP="00CC157D">
            <w:pPr>
              <w:pStyle w:val="NormalWeb"/>
              <w:numPr>
                <w:ilvl w:val="0"/>
                <w:numId w:val="2"/>
              </w:numPr>
              <w:spacing w:before="0" w:beforeAutospacing="0" w:after="0" w:afterAutospacing="0"/>
              <w:ind w:left="426" w:hanging="284"/>
              <w:textAlignment w:val="baseline"/>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lastRenderedPageBreak/>
              <w:t>Financial Accounting – The</w:t>
            </w:r>
            <w:r w:rsidRPr="004C00F6">
              <w:rPr>
                <w:rFonts w:asciiTheme="minorHAnsi" w:hAnsiTheme="minorHAnsi" w:cstheme="minorHAnsi"/>
                <w:color w:val="000000" w:themeColor="text1"/>
                <w:sz w:val="22"/>
                <w:szCs w:val="22"/>
              </w:rPr>
              <w:t xml:space="preserve"> process of preparing financial reports, such as earning statements, for presentation to investors, lenders, governing bodies and other members of the public. In this instance, environmental accounting estimates are presented as part of the financial accounting reports</w:t>
            </w:r>
          </w:p>
          <w:p w14:paraId="115FB440" w14:textId="77777777" w:rsidR="00CC157D" w:rsidRDefault="00CC157D" w:rsidP="00CC157D">
            <w:pPr>
              <w:pStyle w:val="NormalWeb"/>
              <w:numPr>
                <w:ilvl w:val="0"/>
                <w:numId w:val="2"/>
              </w:numPr>
              <w:spacing w:before="0" w:beforeAutospacing="0" w:after="0" w:afterAutospacing="0"/>
              <w:ind w:left="426" w:hanging="284"/>
              <w:textAlignment w:val="baseline"/>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Managerial Accounting - U</w:t>
            </w:r>
            <w:r w:rsidRPr="004C00F6">
              <w:rPr>
                <w:rFonts w:asciiTheme="minorHAnsi" w:hAnsiTheme="minorHAnsi" w:cstheme="minorHAnsi"/>
                <w:color w:val="000000" w:themeColor="text1"/>
                <w:sz w:val="22"/>
                <w:szCs w:val="22"/>
              </w:rPr>
              <w:t xml:space="preserve">sed solely for internal decision making. </w:t>
            </w:r>
            <w:r>
              <w:rPr>
                <w:rFonts w:asciiTheme="minorHAnsi" w:hAnsiTheme="minorHAnsi" w:cstheme="minorHAnsi"/>
                <w:color w:val="000000" w:themeColor="text1"/>
                <w:sz w:val="22"/>
                <w:szCs w:val="22"/>
              </w:rPr>
              <w:t>D</w:t>
            </w:r>
            <w:r w:rsidRPr="004C00F6">
              <w:rPr>
                <w:rFonts w:asciiTheme="minorHAnsi" w:hAnsiTheme="minorHAnsi" w:cstheme="minorHAnsi"/>
                <w:color w:val="000000" w:themeColor="text1"/>
                <w:sz w:val="22"/>
                <w:szCs w:val="22"/>
              </w:rPr>
              <w:t>epartment heads use environmental accounting to collect data used by senior management to make business-critical decisions, such as those surrounding procurement</w:t>
            </w:r>
          </w:p>
          <w:p w14:paraId="1F92A776" w14:textId="77777777" w:rsidR="00CC157D" w:rsidRPr="004C00F6" w:rsidRDefault="00CC157D" w:rsidP="00CC157D">
            <w:pPr>
              <w:pStyle w:val="NormalWeb"/>
              <w:numPr>
                <w:ilvl w:val="0"/>
                <w:numId w:val="2"/>
              </w:numPr>
              <w:spacing w:before="0" w:beforeAutospacing="0" w:after="0" w:afterAutospacing="0"/>
              <w:ind w:left="426" w:hanging="284"/>
              <w:textAlignment w:val="baseline"/>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National Income Accounting – used by </w:t>
            </w:r>
            <w:r w:rsidRPr="004C00F6">
              <w:rPr>
                <w:rFonts w:asciiTheme="minorHAnsi" w:hAnsiTheme="minorHAnsi" w:cstheme="minorHAnsi"/>
                <w:color w:val="000000" w:themeColor="text1"/>
                <w:sz w:val="22"/>
                <w:szCs w:val="22"/>
              </w:rPr>
              <w:t>government agencies to calculate the nation’s gross domestic product and how business decisions affect the country’s economic wellbeing.</w:t>
            </w:r>
          </w:p>
          <w:p w14:paraId="582F13C9" w14:textId="77777777" w:rsidR="00CC157D" w:rsidRDefault="00CC157D" w:rsidP="00CC157D">
            <w:pPr>
              <w:pStyle w:val="Heading2"/>
              <w:numPr>
                <w:ilvl w:val="0"/>
                <w:numId w:val="2"/>
              </w:numPr>
              <w:spacing w:before="0" w:beforeAutospacing="0" w:after="0" w:afterAutospacing="0"/>
              <w:ind w:left="426" w:hanging="284"/>
              <w:textAlignment w:val="baseline"/>
              <w:outlineLvl w:val="1"/>
              <w:rPr>
                <w:rFonts w:asciiTheme="minorHAnsi" w:hAnsiTheme="minorHAnsi" w:cstheme="minorHAnsi"/>
                <w:b w:val="0"/>
                <w:bCs w:val="0"/>
                <w:color w:val="000000" w:themeColor="text1"/>
                <w:sz w:val="22"/>
                <w:szCs w:val="22"/>
              </w:rPr>
            </w:pPr>
            <w:r w:rsidRPr="004C00F6">
              <w:rPr>
                <w:rFonts w:asciiTheme="minorHAnsi" w:hAnsiTheme="minorHAnsi" w:cstheme="minorHAnsi"/>
                <w:b w:val="0"/>
                <w:bCs w:val="0"/>
                <w:color w:val="000000" w:themeColor="text1"/>
                <w:sz w:val="22"/>
                <w:szCs w:val="22"/>
              </w:rPr>
              <w:t>Rationale</w:t>
            </w:r>
          </w:p>
          <w:p w14:paraId="2116EF85" w14:textId="77777777" w:rsidR="00CC157D" w:rsidRPr="004C00F6" w:rsidRDefault="00CC157D" w:rsidP="00CC157D">
            <w:pPr>
              <w:pStyle w:val="Heading2"/>
              <w:spacing w:before="0" w:beforeAutospacing="0" w:after="0" w:afterAutospacing="0"/>
              <w:ind w:left="426"/>
              <w:textAlignment w:val="baseline"/>
              <w:rPr>
                <w:rFonts w:asciiTheme="minorHAnsi" w:hAnsiTheme="minorHAnsi" w:cstheme="minorHAnsi"/>
                <w:b w:val="0"/>
                <w:bCs w:val="0"/>
                <w:color w:val="000000" w:themeColor="text1"/>
                <w:sz w:val="22"/>
                <w:szCs w:val="22"/>
              </w:rPr>
            </w:pPr>
          </w:p>
          <w:p w14:paraId="07EF9191" w14:textId="77777777" w:rsidR="00CC157D" w:rsidRPr="004C00F6" w:rsidRDefault="00CC157D" w:rsidP="00CC157D">
            <w:pPr>
              <w:pStyle w:val="NormalWeb"/>
              <w:spacing w:before="0" w:beforeAutospacing="0" w:after="0" w:afterAutospacing="0"/>
              <w:textAlignment w:val="baseline"/>
              <w:rPr>
                <w:rFonts w:asciiTheme="minorHAnsi" w:hAnsiTheme="minorHAnsi" w:cstheme="minorHAnsi"/>
                <w:color w:val="000000" w:themeColor="text1"/>
                <w:sz w:val="22"/>
                <w:szCs w:val="22"/>
              </w:rPr>
            </w:pPr>
            <w:r w:rsidRPr="004C00F6">
              <w:rPr>
                <w:rFonts w:asciiTheme="minorHAnsi" w:hAnsiTheme="minorHAnsi" w:cstheme="minorHAnsi"/>
                <w:color w:val="000000" w:themeColor="text1"/>
                <w:sz w:val="22"/>
                <w:szCs w:val="22"/>
              </w:rPr>
              <w:t>Environmental costs are</w:t>
            </w:r>
            <w:r>
              <w:rPr>
                <w:rFonts w:asciiTheme="minorHAnsi" w:hAnsiTheme="minorHAnsi" w:cstheme="minorHAnsi"/>
                <w:color w:val="000000" w:themeColor="text1"/>
                <w:sz w:val="22"/>
                <w:szCs w:val="22"/>
              </w:rPr>
              <w:t xml:space="preserve"> the</w:t>
            </w:r>
            <w:r w:rsidRPr="004C00F6">
              <w:rPr>
                <w:rFonts w:asciiTheme="minorHAnsi" w:hAnsiTheme="minorHAnsi" w:cstheme="minorHAnsi"/>
                <w:color w:val="000000" w:themeColor="text1"/>
                <w:sz w:val="22"/>
                <w:szCs w:val="22"/>
              </w:rPr>
              <w:t xml:space="preserve"> many different types of costs businesses incur as they provide goods and services to their customers. An example of this is leftover manufacturing materials. In addition, environmental accounting provides </w:t>
            </w:r>
            <w:r>
              <w:rPr>
                <w:rFonts w:asciiTheme="minorHAnsi" w:hAnsiTheme="minorHAnsi" w:cstheme="minorHAnsi"/>
                <w:color w:val="000000" w:themeColor="text1"/>
                <w:sz w:val="22"/>
                <w:szCs w:val="22"/>
              </w:rPr>
              <w:t>details of</w:t>
            </w:r>
            <w:r w:rsidRPr="004C00F6">
              <w:rPr>
                <w:rFonts w:asciiTheme="minorHAnsi" w:hAnsiTheme="minorHAnsi" w:cstheme="minorHAnsi"/>
                <w:color w:val="000000" w:themeColor="text1"/>
                <w:sz w:val="22"/>
                <w:szCs w:val="22"/>
              </w:rPr>
              <w:t xml:space="preserve"> monetary benefits</w:t>
            </w:r>
            <w:r>
              <w:rPr>
                <w:rFonts w:asciiTheme="minorHAnsi" w:hAnsiTheme="minorHAnsi" w:cstheme="minorHAnsi"/>
                <w:color w:val="000000" w:themeColor="text1"/>
                <w:sz w:val="22"/>
                <w:szCs w:val="22"/>
              </w:rPr>
              <w:t xml:space="preserve"> or deficits</w:t>
            </w:r>
          </w:p>
          <w:p w14:paraId="0CB02FC3" w14:textId="77777777" w:rsidR="00CC157D" w:rsidRPr="004C00F6" w:rsidRDefault="00CC157D" w:rsidP="00CC157D">
            <w:pPr>
              <w:rPr>
                <w:rFonts w:cstheme="minorHAnsi"/>
                <w:color w:val="000000" w:themeColor="text1"/>
              </w:rPr>
            </w:pPr>
          </w:p>
          <w:p w14:paraId="18B801A3" w14:textId="77777777" w:rsidR="00CC2FB3" w:rsidRDefault="00CC2FB3" w:rsidP="00A851DA">
            <w:pPr>
              <w:rPr>
                <w:b/>
              </w:rPr>
            </w:pPr>
          </w:p>
          <w:p w14:paraId="4B730636" w14:textId="77777777" w:rsidR="00CC2FB3" w:rsidRDefault="00CC2FB3" w:rsidP="00CC157D">
            <w:pPr>
              <w:rPr>
                <w:b/>
              </w:rPr>
            </w:pPr>
          </w:p>
        </w:tc>
      </w:tr>
    </w:tbl>
    <w:p w14:paraId="2E5AB2E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88E231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FE59ED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8210B8" w14:textId="6766378F"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4C861EC" w14:textId="77777777" w:rsidR="00A851DA" w:rsidRPr="00B0415E" w:rsidRDefault="00A851DA" w:rsidP="00A851DA">
      <w:pPr>
        <w:autoSpaceDE w:val="0"/>
        <w:autoSpaceDN w:val="0"/>
        <w:adjustRightInd w:val="0"/>
        <w:spacing w:after="0" w:line="240" w:lineRule="auto"/>
        <w:rPr>
          <w:rFonts w:cs="Bliss-Regular"/>
          <w:color w:val="000000"/>
          <w:lang w:val="en-US"/>
        </w:rPr>
      </w:pPr>
      <w:bookmarkStart w:id="0" w:name="_GoBack"/>
    </w:p>
    <w:tbl>
      <w:tblPr>
        <w:tblStyle w:val="TableGrid"/>
        <w:tblW w:w="0" w:type="auto"/>
        <w:tblLook w:val="04A0" w:firstRow="1" w:lastRow="0" w:firstColumn="1" w:lastColumn="0" w:noHBand="0" w:noVBand="1"/>
      </w:tblPr>
      <w:tblGrid>
        <w:gridCol w:w="2259"/>
        <w:gridCol w:w="3903"/>
        <w:gridCol w:w="1250"/>
        <w:gridCol w:w="1604"/>
      </w:tblGrid>
      <w:tr w:rsidR="00405895" w:rsidRPr="00B0415E" w14:paraId="23C68B85" w14:textId="77777777" w:rsidTr="00405895">
        <w:tc>
          <w:tcPr>
            <w:tcW w:w="2310" w:type="dxa"/>
            <w:shd w:val="clear" w:color="auto" w:fill="D9D9D9" w:themeFill="background1" w:themeFillShade="D9"/>
          </w:tcPr>
          <w:bookmarkEnd w:id="0"/>
          <w:p w14:paraId="266176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41DF8F1" w14:textId="4FD46009" w:rsidR="00405895" w:rsidRPr="00B0415E" w:rsidRDefault="00CC157D" w:rsidP="00A851DA">
            <w:pPr>
              <w:rPr>
                <w:rFonts w:cs="Bliss-Regular"/>
                <w:color w:val="000000"/>
              </w:rPr>
            </w:pPr>
            <w:r>
              <w:rPr>
                <w:rFonts w:cs="Bliss-Regular"/>
                <w:color w:val="000000"/>
              </w:rPr>
              <w:t>Jenny Sowter</w:t>
            </w:r>
          </w:p>
        </w:tc>
        <w:tc>
          <w:tcPr>
            <w:tcW w:w="1276" w:type="dxa"/>
            <w:shd w:val="clear" w:color="auto" w:fill="D9D9D9" w:themeFill="background1" w:themeFillShade="D9"/>
          </w:tcPr>
          <w:p w14:paraId="0CE3D7C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BDA60F6" w14:textId="151BD279" w:rsidR="00405895" w:rsidRPr="00B0415E" w:rsidRDefault="00CC157D" w:rsidP="00A851DA">
            <w:pPr>
              <w:rPr>
                <w:rFonts w:cs="Bliss-Regular"/>
                <w:color w:val="000000"/>
              </w:rPr>
            </w:pPr>
            <w:r>
              <w:rPr>
                <w:rFonts w:cs="Bliss-Regular"/>
                <w:color w:val="000000"/>
              </w:rPr>
              <w:t xml:space="preserve">23.08.2019 </w:t>
            </w:r>
          </w:p>
        </w:tc>
      </w:tr>
    </w:tbl>
    <w:p w14:paraId="12E3321B" w14:textId="77777777" w:rsidR="00A851DA" w:rsidRPr="00B0415E" w:rsidRDefault="00A851DA" w:rsidP="00A851DA">
      <w:pPr>
        <w:rPr>
          <w:rFonts w:cs="Bliss-Regular"/>
          <w:color w:val="000000"/>
          <w:lang w:val="en-US"/>
        </w:rPr>
      </w:pPr>
    </w:p>
    <w:p w14:paraId="3105DF8B" w14:textId="77777777" w:rsidR="00A851DA" w:rsidRPr="00B0415E" w:rsidRDefault="00A851DA" w:rsidP="00A851DA">
      <w:pPr>
        <w:rPr>
          <w:rFonts w:cs="Bliss-Regular"/>
          <w:color w:val="000000"/>
          <w:lang w:val="en-US"/>
        </w:rPr>
      </w:pPr>
    </w:p>
    <w:p w14:paraId="495DB80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EF6C453" w14:textId="77777777" w:rsidTr="00B0415E">
        <w:trPr>
          <w:trHeight w:val="249"/>
        </w:trPr>
        <w:tc>
          <w:tcPr>
            <w:tcW w:w="4621" w:type="dxa"/>
            <w:shd w:val="clear" w:color="auto" w:fill="D9D9D9" w:themeFill="background1" w:themeFillShade="D9"/>
          </w:tcPr>
          <w:p w14:paraId="2B68D668" w14:textId="77777777" w:rsidR="00503D7E" w:rsidRPr="00B0415E" w:rsidRDefault="00503D7E" w:rsidP="00503D7E">
            <w:pPr>
              <w:rPr>
                <w:b/>
                <w:color w:val="002060"/>
              </w:rPr>
            </w:pPr>
            <w:r w:rsidRPr="00B0415E">
              <w:rPr>
                <w:b/>
                <w:color w:val="002060"/>
              </w:rPr>
              <w:t>Total Marks</w:t>
            </w:r>
          </w:p>
        </w:tc>
        <w:tc>
          <w:tcPr>
            <w:tcW w:w="4621" w:type="dxa"/>
          </w:tcPr>
          <w:p w14:paraId="6FF617AA" w14:textId="77777777" w:rsidR="00503D7E" w:rsidRPr="00B0415E" w:rsidRDefault="00503D7E" w:rsidP="00503D7E">
            <w:pPr>
              <w:rPr>
                <w:rFonts w:cs="Times New Roman"/>
                <w:szCs w:val="32"/>
              </w:rPr>
            </w:pPr>
          </w:p>
        </w:tc>
      </w:tr>
      <w:tr w:rsidR="00503D7E" w:rsidRPr="00B0415E" w14:paraId="583A7148" w14:textId="77777777" w:rsidTr="00B0415E">
        <w:tc>
          <w:tcPr>
            <w:tcW w:w="4621" w:type="dxa"/>
            <w:shd w:val="clear" w:color="auto" w:fill="D9D9D9" w:themeFill="background1" w:themeFillShade="D9"/>
          </w:tcPr>
          <w:p w14:paraId="6BD68FD2" w14:textId="77777777" w:rsidR="00503D7E" w:rsidRPr="00B0415E" w:rsidRDefault="00503D7E" w:rsidP="00503D7E">
            <w:pPr>
              <w:rPr>
                <w:b/>
                <w:color w:val="002060"/>
              </w:rPr>
            </w:pPr>
            <w:r w:rsidRPr="00B0415E">
              <w:rPr>
                <w:b/>
                <w:color w:val="002060"/>
              </w:rPr>
              <w:t>Marks Obtained</w:t>
            </w:r>
          </w:p>
        </w:tc>
        <w:tc>
          <w:tcPr>
            <w:tcW w:w="4621" w:type="dxa"/>
          </w:tcPr>
          <w:p w14:paraId="21586C2B" w14:textId="77777777" w:rsidR="00503D7E" w:rsidRPr="00B0415E" w:rsidRDefault="00503D7E" w:rsidP="00503D7E">
            <w:pPr>
              <w:rPr>
                <w:rFonts w:cs="Times New Roman"/>
                <w:szCs w:val="32"/>
              </w:rPr>
            </w:pPr>
          </w:p>
        </w:tc>
      </w:tr>
      <w:tr w:rsidR="00503D7E" w:rsidRPr="00B0415E" w14:paraId="272B54E3" w14:textId="77777777" w:rsidTr="00B0415E">
        <w:tc>
          <w:tcPr>
            <w:tcW w:w="4621" w:type="dxa"/>
            <w:shd w:val="clear" w:color="auto" w:fill="D9D9D9" w:themeFill="background1" w:themeFillShade="D9"/>
          </w:tcPr>
          <w:p w14:paraId="5518B1D2" w14:textId="77777777" w:rsidR="00503D7E" w:rsidRPr="00B0415E" w:rsidRDefault="00B0415E" w:rsidP="00503D7E">
            <w:pPr>
              <w:rPr>
                <w:b/>
                <w:color w:val="002060"/>
              </w:rPr>
            </w:pPr>
            <w:r w:rsidRPr="00B0415E">
              <w:rPr>
                <w:b/>
                <w:color w:val="002060"/>
              </w:rPr>
              <w:t>Percentage / Grade</w:t>
            </w:r>
          </w:p>
        </w:tc>
        <w:tc>
          <w:tcPr>
            <w:tcW w:w="4621" w:type="dxa"/>
          </w:tcPr>
          <w:p w14:paraId="2F6A96E3" w14:textId="77777777" w:rsidR="00503D7E" w:rsidRPr="00B0415E" w:rsidRDefault="00503D7E" w:rsidP="00503D7E">
            <w:pPr>
              <w:rPr>
                <w:rFonts w:cs="Times New Roman"/>
                <w:szCs w:val="32"/>
              </w:rPr>
            </w:pPr>
          </w:p>
        </w:tc>
      </w:tr>
    </w:tbl>
    <w:p w14:paraId="44645AD0" w14:textId="77777777" w:rsidR="00A851DA" w:rsidRDefault="00A851DA" w:rsidP="00503D7E">
      <w:pPr>
        <w:rPr>
          <w:rFonts w:cs="Times New Roman"/>
          <w:sz w:val="24"/>
          <w:szCs w:val="32"/>
        </w:rPr>
      </w:pPr>
    </w:p>
    <w:p w14:paraId="58FCA8F0" w14:textId="77777777" w:rsidR="00607874" w:rsidRDefault="00607874" w:rsidP="00503D7E">
      <w:pPr>
        <w:rPr>
          <w:rFonts w:cs="Times New Roman"/>
          <w:sz w:val="24"/>
          <w:szCs w:val="32"/>
        </w:rPr>
      </w:pPr>
    </w:p>
    <w:p w14:paraId="6FE9F50C" w14:textId="77777777" w:rsidR="00607874" w:rsidRDefault="00607874" w:rsidP="00503D7E">
      <w:pPr>
        <w:rPr>
          <w:rFonts w:cs="Times New Roman"/>
          <w:sz w:val="24"/>
          <w:szCs w:val="32"/>
        </w:rPr>
      </w:pPr>
    </w:p>
    <w:p w14:paraId="7D6AC2D8" w14:textId="77777777" w:rsidR="00607874" w:rsidRDefault="00607874" w:rsidP="00503D7E">
      <w:pPr>
        <w:rPr>
          <w:rFonts w:cs="Times New Roman"/>
          <w:sz w:val="24"/>
          <w:szCs w:val="32"/>
        </w:rPr>
      </w:pPr>
    </w:p>
    <w:p w14:paraId="03C1D17B" w14:textId="77777777" w:rsidR="00607874" w:rsidRDefault="00607874" w:rsidP="00503D7E">
      <w:pPr>
        <w:rPr>
          <w:rFonts w:cs="Times New Roman"/>
          <w:sz w:val="24"/>
          <w:szCs w:val="32"/>
        </w:rPr>
      </w:pPr>
    </w:p>
    <w:p w14:paraId="3D8E1CA6" w14:textId="77777777" w:rsidR="00607874" w:rsidRDefault="00607874" w:rsidP="00503D7E">
      <w:pPr>
        <w:rPr>
          <w:rFonts w:cs="Times New Roman"/>
          <w:sz w:val="24"/>
          <w:szCs w:val="32"/>
        </w:rPr>
      </w:pPr>
    </w:p>
    <w:p w14:paraId="0FEDD24A" w14:textId="77777777" w:rsidR="00607874" w:rsidRDefault="00607874" w:rsidP="00503D7E">
      <w:pPr>
        <w:rPr>
          <w:rFonts w:cs="Times New Roman"/>
          <w:sz w:val="24"/>
          <w:szCs w:val="32"/>
        </w:rPr>
      </w:pPr>
    </w:p>
    <w:p w14:paraId="31A92D63" w14:textId="77777777" w:rsidR="00607874" w:rsidRDefault="00607874" w:rsidP="00503D7E">
      <w:pPr>
        <w:rPr>
          <w:rFonts w:cs="Times New Roman"/>
          <w:sz w:val="24"/>
          <w:szCs w:val="32"/>
        </w:rPr>
      </w:pPr>
    </w:p>
    <w:p w14:paraId="423EF3E6" w14:textId="77777777" w:rsidR="00EA30AB" w:rsidRDefault="00EA30AB" w:rsidP="00503D7E">
      <w:pPr>
        <w:rPr>
          <w:rFonts w:cs="Times New Roman"/>
          <w:sz w:val="24"/>
          <w:szCs w:val="32"/>
        </w:rPr>
      </w:pPr>
    </w:p>
    <w:p w14:paraId="041F9C98" w14:textId="77777777" w:rsidR="00EA30AB" w:rsidRDefault="00EA30AB" w:rsidP="00503D7E">
      <w:pPr>
        <w:rPr>
          <w:rFonts w:cs="Times New Roman"/>
          <w:sz w:val="24"/>
          <w:szCs w:val="32"/>
        </w:rPr>
      </w:pPr>
    </w:p>
    <w:p w14:paraId="4BC7251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32C24B" w14:textId="77777777" w:rsidR="000F383A" w:rsidRDefault="000F383A" w:rsidP="00CB4D0A">
      <w:pPr>
        <w:spacing w:after="0" w:line="240" w:lineRule="auto"/>
      </w:pPr>
      <w:r>
        <w:separator/>
      </w:r>
    </w:p>
  </w:endnote>
  <w:endnote w:type="continuationSeparator" w:id="0">
    <w:p w14:paraId="5ECE4A08" w14:textId="77777777" w:rsidR="000F383A" w:rsidRDefault="000F38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4BE3A" w14:textId="77777777" w:rsidR="000F383A" w:rsidRDefault="000F383A" w:rsidP="00CB4D0A">
      <w:pPr>
        <w:spacing w:after="0" w:line="240" w:lineRule="auto"/>
      </w:pPr>
      <w:r>
        <w:separator/>
      </w:r>
    </w:p>
  </w:footnote>
  <w:footnote w:type="continuationSeparator" w:id="0">
    <w:p w14:paraId="5E5DC5D9" w14:textId="77777777" w:rsidR="000F383A" w:rsidRDefault="000F383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142BD6"/>
    <w:multiLevelType w:val="hybridMultilevel"/>
    <w:tmpl w:val="C7FE1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383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157D"/>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A38DA"/>
  <w15:docId w15:val="{C7D8DE10-B72B-4643-B61F-1F9CDC111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CC157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C157D"/>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CC157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gi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20A0F3-F319-4940-8C39-E6E1B2B4468C}" type="doc">
      <dgm:prSet loTypeId="urn:microsoft.com/office/officeart/2005/8/layout/cycle4" loCatId="" qsTypeId="urn:microsoft.com/office/officeart/2005/8/quickstyle/simple1" qsCatId="simple" csTypeId="urn:microsoft.com/office/officeart/2005/8/colors/colorful4" csCatId="colorful" phldr="1"/>
      <dgm:spPr/>
      <dgm:t>
        <a:bodyPr/>
        <a:lstStyle/>
        <a:p>
          <a:endParaRPr lang="en-GB"/>
        </a:p>
      </dgm:t>
    </dgm:pt>
    <dgm:pt modelId="{213B6B92-9455-FE46-B04A-CCDB1622E9F1}">
      <dgm:prSet phldrT="[Text]"/>
      <dgm:spPr/>
      <dgm:t>
        <a:bodyPr/>
        <a:lstStyle/>
        <a:p>
          <a:r>
            <a:rPr lang="en-GB"/>
            <a:t>Plan</a:t>
          </a:r>
        </a:p>
      </dgm:t>
    </dgm:pt>
    <dgm:pt modelId="{6F4E26F3-1367-C044-B2E3-8A04AD85AC58}" type="parTrans" cxnId="{FF85594F-9EBB-6E4D-8A21-E1A859B094F3}">
      <dgm:prSet/>
      <dgm:spPr/>
      <dgm:t>
        <a:bodyPr/>
        <a:lstStyle/>
        <a:p>
          <a:endParaRPr lang="en-GB"/>
        </a:p>
      </dgm:t>
    </dgm:pt>
    <dgm:pt modelId="{5994999B-4D99-EE4D-8527-1AD8D80D8955}" type="sibTrans" cxnId="{FF85594F-9EBB-6E4D-8A21-E1A859B094F3}">
      <dgm:prSet/>
      <dgm:spPr/>
      <dgm:t>
        <a:bodyPr/>
        <a:lstStyle/>
        <a:p>
          <a:endParaRPr lang="en-GB"/>
        </a:p>
      </dgm:t>
    </dgm:pt>
    <dgm:pt modelId="{04B1A5C3-15FC-054F-BFF2-4BDC746C0E7E}">
      <dgm:prSet phldrT="[Text]"/>
      <dgm:spPr/>
      <dgm:t>
        <a:bodyPr/>
        <a:lstStyle/>
        <a:p>
          <a:r>
            <a:rPr lang="en-GB"/>
            <a:t>Plan </a:t>
          </a:r>
        </a:p>
      </dgm:t>
    </dgm:pt>
    <dgm:pt modelId="{32160162-D4EE-9A4F-9D1C-5893A8EE238C}" type="parTrans" cxnId="{F23E70F4-B9CE-F746-A8CC-6754EE57869C}">
      <dgm:prSet/>
      <dgm:spPr/>
      <dgm:t>
        <a:bodyPr/>
        <a:lstStyle/>
        <a:p>
          <a:endParaRPr lang="en-GB"/>
        </a:p>
      </dgm:t>
    </dgm:pt>
    <dgm:pt modelId="{01BD003D-92DA-5B4B-A3EF-3EBE6B724559}" type="sibTrans" cxnId="{F23E70F4-B9CE-F746-A8CC-6754EE57869C}">
      <dgm:prSet/>
      <dgm:spPr/>
      <dgm:t>
        <a:bodyPr/>
        <a:lstStyle/>
        <a:p>
          <a:endParaRPr lang="en-GB"/>
        </a:p>
      </dgm:t>
    </dgm:pt>
    <dgm:pt modelId="{3F15A506-C967-3B41-A870-06F180802E23}">
      <dgm:prSet phldrT="[Text]"/>
      <dgm:spPr/>
      <dgm:t>
        <a:bodyPr/>
        <a:lstStyle/>
        <a:p>
          <a:r>
            <a:rPr lang="en-GB"/>
            <a:t>Do</a:t>
          </a:r>
        </a:p>
      </dgm:t>
    </dgm:pt>
    <dgm:pt modelId="{6A54AA58-8851-104C-8930-F591044F4107}" type="parTrans" cxnId="{B5B08EB7-1B1C-294A-9421-3493238BAAC3}">
      <dgm:prSet/>
      <dgm:spPr/>
      <dgm:t>
        <a:bodyPr/>
        <a:lstStyle/>
        <a:p>
          <a:endParaRPr lang="en-GB"/>
        </a:p>
      </dgm:t>
    </dgm:pt>
    <dgm:pt modelId="{B2B871FE-0ABC-3441-A36A-8BF43484368B}" type="sibTrans" cxnId="{B5B08EB7-1B1C-294A-9421-3493238BAAC3}">
      <dgm:prSet/>
      <dgm:spPr/>
      <dgm:t>
        <a:bodyPr/>
        <a:lstStyle/>
        <a:p>
          <a:endParaRPr lang="en-GB"/>
        </a:p>
      </dgm:t>
    </dgm:pt>
    <dgm:pt modelId="{76307A86-E6E1-434B-BDFA-026AF03FCA98}">
      <dgm:prSet phldrT="[Text]"/>
      <dgm:spPr/>
      <dgm:t>
        <a:bodyPr/>
        <a:lstStyle/>
        <a:p>
          <a:r>
            <a:rPr lang="en-GB"/>
            <a:t>Perform</a:t>
          </a:r>
        </a:p>
      </dgm:t>
    </dgm:pt>
    <dgm:pt modelId="{3A8BE10E-ED40-8947-8C00-C2F69A9543CF}" type="parTrans" cxnId="{E71B87F3-F6E4-1A40-BC54-8C30AA6E1988}">
      <dgm:prSet/>
      <dgm:spPr/>
      <dgm:t>
        <a:bodyPr/>
        <a:lstStyle/>
        <a:p>
          <a:endParaRPr lang="en-GB"/>
        </a:p>
      </dgm:t>
    </dgm:pt>
    <dgm:pt modelId="{FCC6FE0B-FA33-3F47-81E2-6A6FEE0F0D22}" type="sibTrans" cxnId="{E71B87F3-F6E4-1A40-BC54-8C30AA6E1988}">
      <dgm:prSet/>
      <dgm:spPr/>
      <dgm:t>
        <a:bodyPr/>
        <a:lstStyle/>
        <a:p>
          <a:endParaRPr lang="en-GB"/>
        </a:p>
      </dgm:t>
    </dgm:pt>
    <dgm:pt modelId="{653EAF5A-6429-7345-A82B-F1A40D718EA9}">
      <dgm:prSet phldrT="[Text]"/>
      <dgm:spPr/>
      <dgm:t>
        <a:bodyPr/>
        <a:lstStyle/>
        <a:p>
          <a:r>
            <a:rPr lang="en-GB"/>
            <a:t>Check</a:t>
          </a:r>
        </a:p>
      </dgm:t>
    </dgm:pt>
    <dgm:pt modelId="{3AD98FF0-C386-0C4F-A875-3823B964B2C5}" type="parTrans" cxnId="{D722F6CB-BF3C-A547-AD84-B7C912CD6AC6}">
      <dgm:prSet/>
      <dgm:spPr/>
      <dgm:t>
        <a:bodyPr/>
        <a:lstStyle/>
        <a:p>
          <a:endParaRPr lang="en-GB"/>
        </a:p>
      </dgm:t>
    </dgm:pt>
    <dgm:pt modelId="{17D443C7-D67F-FB4C-A9B1-F8F5F6BE07CD}" type="sibTrans" cxnId="{D722F6CB-BF3C-A547-AD84-B7C912CD6AC6}">
      <dgm:prSet/>
      <dgm:spPr/>
      <dgm:t>
        <a:bodyPr/>
        <a:lstStyle/>
        <a:p>
          <a:endParaRPr lang="en-GB"/>
        </a:p>
      </dgm:t>
    </dgm:pt>
    <dgm:pt modelId="{E7A753F1-3EF1-BD40-A8FA-4746C12CDBDA}">
      <dgm:prSet phldrT="[Text]"/>
      <dgm:spPr/>
      <dgm:t>
        <a:bodyPr/>
        <a:lstStyle/>
        <a:p>
          <a:r>
            <a:rPr lang="en-GB"/>
            <a:t>Monitor</a:t>
          </a:r>
        </a:p>
      </dgm:t>
    </dgm:pt>
    <dgm:pt modelId="{36C81AD8-C407-BA47-9BD6-2566C52EB862}" type="parTrans" cxnId="{1EF84DFA-5552-C840-A522-CCEA31F7B796}">
      <dgm:prSet/>
      <dgm:spPr/>
      <dgm:t>
        <a:bodyPr/>
        <a:lstStyle/>
        <a:p>
          <a:endParaRPr lang="en-GB"/>
        </a:p>
      </dgm:t>
    </dgm:pt>
    <dgm:pt modelId="{5F8E0203-E1B3-7B48-AE12-F1E60EB78020}" type="sibTrans" cxnId="{1EF84DFA-5552-C840-A522-CCEA31F7B796}">
      <dgm:prSet/>
      <dgm:spPr/>
      <dgm:t>
        <a:bodyPr/>
        <a:lstStyle/>
        <a:p>
          <a:endParaRPr lang="en-GB"/>
        </a:p>
      </dgm:t>
    </dgm:pt>
    <dgm:pt modelId="{0C04E6AC-68CF-F744-935A-B8068D0BD5C3}">
      <dgm:prSet phldrT="[Text]"/>
      <dgm:spPr/>
      <dgm:t>
        <a:bodyPr/>
        <a:lstStyle/>
        <a:p>
          <a:r>
            <a:rPr lang="en-GB"/>
            <a:t>Act</a:t>
          </a:r>
        </a:p>
      </dgm:t>
    </dgm:pt>
    <dgm:pt modelId="{A5881395-D15F-3A47-99EC-049D8CA493C1}" type="parTrans" cxnId="{05748509-BA04-4D44-879A-251CC0C273D5}">
      <dgm:prSet/>
      <dgm:spPr/>
      <dgm:t>
        <a:bodyPr/>
        <a:lstStyle/>
        <a:p>
          <a:endParaRPr lang="en-GB"/>
        </a:p>
      </dgm:t>
    </dgm:pt>
    <dgm:pt modelId="{DCBAF372-8386-3A44-BF43-4DB4F772E377}" type="sibTrans" cxnId="{05748509-BA04-4D44-879A-251CC0C273D5}">
      <dgm:prSet/>
      <dgm:spPr/>
      <dgm:t>
        <a:bodyPr/>
        <a:lstStyle/>
        <a:p>
          <a:endParaRPr lang="en-GB"/>
        </a:p>
      </dgm:t>
    </dgm:pt>
    <dgm:pt modelId="{B2EDD041-23C3-1A4F-B668-080B62CC9F30}">
      <dgm:prSet phldrT="[Text]"/>
      <dgm:spPr/>
      <dgm:t>
        <a:bodyPr/>
        <a:lstStyle/>
        <a:p>
          <a:r>
            <a:rPr lang="en-GB"/>
            <a:t>Improve</a:t>
          </a:r>
        </a:p>
      </dgm:t>
    </dgm:pt>
    <dgm:pt modelId="{CA42F30D-B87C-384C-8B9B-17C653C49CE1}" type="parTrans" cxnId="{30BA8E8A-7E0B-B14F-A400-8633D7CC58F3}">
      <dgm:prSet/>
      <dgm:spPr/>
      <dgm:t>
        <a:bodyPr/>
        <a:lstStyle/>
        <a:p>
          <a:endParaRPr lang="en-GB"/>
        </a:p>
      </dgm:t>
    </dgm:pt>
    <dgm:pt modelId="{BB53C2DA-376F-484E-AE09-1F8F17FC825A}" type="sibTrans" cxnId="{30BA8E8A-7E0B-B14F-A400-8633D7CC58F3}">
      <dgm:prSet/>
      <dgm:spPr/>
      <dgm:t>
        <a:bodyPr/>
        <a:lstStyle/>
        <a:p>
          <a:endParaRPr lang="en-GB"/>
        </a:p>
      </dgm:t>
    </dgm:pt>
    <dgm:pt modelId="{76F89FAF-D53E-8646-B2D0-39BC99C60482}" type="pres">
      <dgm:prSet presAssocID="{EE20A0F3-F319-4940-8C39-E6E1B2B4468C}" presName="cycleMatrixDiagram" presStyleCnt="0">
        <dgm:presLayoutVars>
          <dgm:chMax val="1"/>
          <dgm:dir/>
          <dgm:animLvl val="lvl"/>
          <dgm:resizeHandles val="exact"/>
        </dgm:presLayoutVars>
      </dgm:prSet>
      <dgm:spPr/>
    </dgm:pt>
    <dgm:pt modelId="{445C27B5-0199-1E48-A439-8B0E3E4BC316}" type="pres">
      <dgm:prSet presAssocID="{EE20A0F3-F319-4940-8C39-E6E1B2B4468C}" presName="children" presStyleCnt="0"/>
      <dgm:spPr/>
    </dgm:pt>
    <dgm:pt modelId="{6A7D8EBA-7024-CB44-B4FA-857F9474FD82}" type="pres">
      <dgm:prSet presAssocID="{EE20A0F3-F319-4940-8C39-E6E1B2B4468C}" presName="child1group" presStyleCnt="0"/>
      <dgm:spPr/>
    </dgm:pt>
    <dgm:pt modelId="{7D0A0E3F-4E5A-B240-BCCD-BED661F6DDDE}" type="pres">
      <dgm:prSet presAssocID="{EE20A0F3-F319-4940-8C39-E6E1B2B4468C}" presName="child1" presStyleLbl="bgAcc1" presStyleIdx="0" presStyleCnt="4"/>
      <dgm:spPr/>
    </dgm:pt>
    <dgm:pt modelId="{81646714-392D-BF43-8B94-396BC050FFE7}" type="pres">
      <dgm:prSet presAssocID="{EE20A0F3-F319-4940-8C39-E6E1B2B4468C}" presName="child1Text" presStyleLbl="bgAcc1" presStyleIdx="0" presStyleCnt="4">
        <dgm:presLayoutVars>
          <dgm:bulletEnabled val="1"/>
        </dgm:presLayoutVars>
      </dgm:prSet>
      <dgm:spPr/>
    </dgm:pt>
    <dgm:pt modelId="{1C76BD42-774B-E54C-A516-54CB531A64C0}" type="pres">
      <dgm:prSet presAssocID="{EE20A0F3-F319-4940-8C39-E6E1B2B4468C}" presName="child2group" presStyleCnt="0"/>
      <dgm:spPr/>
    </dgm:pt>
    <dgm:pt modelId="{FEB008E5-789F-804B-B3E9-01B6D27F4F13}" type="pres">
      <dgm:prSet presAssocID="{EE20A0F3-F319-4940-8C39-E6E1B2B4468C}" presName="child2" presStyleLbl="bgAcc1" presStyleIdx="1" presStyleCnt="4"/>
      <dgm:spPr/>
    </dgm:pt>
    <dgm:pt modelId="{660055FC-2220-2F45-864A-C390E7E24D55}" type="pres">
      <dgm:prSet presAssocID="{EE20A0F3-F319-4940-8C39-E6E1B2B4468C}" presName="child2Text" presStyleLbl="bgAcc1" presStyleIdx="1" presStyleCnt="4">
        <dgm:presLayoutVars>
          <dgm:bulletEnabled val="1"/>
        </dgm:presLayoutVars>
      </dgm:prSet>
      <dgm:spPr/>
    </dgm:pt>
    <dgm:pt modelId="{87801FA3-E80E-CA4B-8FD8-5AC50E47F7E9}" type="pres">
      <dgm:prSet presAssocID="{EE20A0F3-F319-4940-8C39-E6E1B2B4468C}" presName="child3group" presStyleCnt="0"/>
      <dgm:spPr/>
    </dgm:pt>
    <dgm:pt modelId="{CA989F61-430A-804B-B0D2-51BC34916817}" type="pres">
      <dgm:prSet presAssocID="{EE20A0F3-F319-4940-8C39-E6E1B2B4468C}" presName="child3" presStyleLbl="bgAcc1" presStyleIdx="2" presStyleCnt="4"/>
      <dgm:spPr/>
    </dgm:pt>
    <dgm:pt modelId="{5B82F1CE-C7E2-844B-9341-60C70C05476C}" type="pres">
      <dgm:prSet presAssocID="{EE20A0F3-F319-4940-8C39-E6E1B2B4468C}" presName="child3Text" presStyleLbl="bgAcc1" presStyleIdx="2" presStyleCnt="4">
        <dgm:presLayoutVars>
          <dgm:bulletEnabled val="1"/>
        </dgm:presLayoutVars>
      </dgm:prSet>
      <dgm:spPr/>
    </dgm:pt>
    <dgm:pt modelId="{C6B353AF-0ACB-924E-86A4-88D5AD193137}" type="pres">
      <dgm:prSet presAssocID="{EE20A0F3-F319-4940-8C39-E6E1B2B4468C}" presName="child4group" presStyleCnt="0"/>
      <dgm:spPr/>
    </dgm:pt>
    <dgm:pt modelId="{83EF1500-C786-2246-A26C-84B802DDFC74}" type="pres">
      <dgm:prSet presAssocID="{EE20A0F3-F319-4940-8C39-E6E1B2B4468C}" presName="child4" presStyleLbl="bgAcc1" presStyleIdx="3" presStyleCnt="4"/>
      <dgm:spPr/>
    </dgm:pt>
    <dgm:pt modelId="{81FB0C03-293A-864C-9208-C4CA57987FA0}" type="pres">
      <dgm:prSet presAssocID="{EE20A0F3-F319-4940-8C39-E6E1B2B4468C}" presName="child4Text" presStyleLbl="bgAcc1" presStyleIdx="3" presStyleCnt="4">
        <dgm:presLayoutVars>
          <dgm:bulletEnabled val="1"/>
        </dgm:presLayoutVars>
      </dgm:prSet>
      <dgm:spPr/>
    </dgm:pt>
    <dgm:pt modelId="{578F7D7B-FECF-9F4E-8562-CC5D50C1D0EB}" type="pres">
      <dgm:prSet presAssocID="{EE20A0F3-F319-4940-8C39-E6E1B2B4468C}" presName="childPlaceholder" presStyleCnt="0"/>
      <dgm:spPr/>
    </dgm:pt>
    <dgm:pt modelId="{BBD802C3-6194-6744-B056-146C58ECC920}" type="pres">
      <dgm:prSet presAssocID="{EE20A0F3-F319-4940-8C39-E6E1B2B4468C}" presName="circle" presStyleCnt="0"/>
      <dgm:spPr/>
    </dgm:pt>
    <dgm:pt modelId="{43726818-B4B8-224E-9151-AD4DCAA8FE43}" type="pres">
      <dgm:prSet presAssocID="{EE20A0F3-F319-4940-8C39-E6E1B2B4468C}" presName="quadrant1" presStyleLbl="node1" presStyleIdx="0" presStyleCnt="4">
        <dgm:presLayoutVars>
          <dgm:chMax val="1"/>
          <dgm:bulletEnabled val="1"/>
        </dgm:presLayoutVars>
      </dgm:prSet>
      <dgm:spPr/>
    </dgm:pt>
    <dgm:pt modelId="{87EB9A4D-2E7B-2647-BD71-1A51CEDCEDB5}" type="pres">
      <dgm:prSet presAssocID="{EE20A0F3-F319-4940-8C39-E6E1B2B4468C}" presName="quadrant2" presStyleLbl="node1" presStyleIdx="1" presStyleCnt="4">
        <dgm:presLayoutVars>
          <dgm:chMax val="1"/>
          <dgm:bulletEnabled val="1"/>
        </dgm:presLayoutVars>
      </dgm:prSet>
      <dgm:spPr/>
    </dgm:pt>
    <dgm:pt modelId="{6A2EAEF5-D700-B544-9DA1-322C33CF6498}" type="pres">
      <dgm:prSet presAssocID="{EE20A0F3-F319-4940-8C39-E6E1B2B4468C}" presName="quadrant3" presStyleLbl="node1" presStyleIdx="2" presStyleCnt="4">
        <dgm:presLayoutVars>
          <dgm:chMax val="1"/>
          <dgm:bulletEnabled val="1"/>
        </dgm:presLayoutVars>
      </dgm:prSet>
      <dgm:spPr/>
    </dgm:pt>
    <dgm:pt modelId="{8431D5CD-2ABB-EF4C-8E65-5E5E4042E3F0}" type="pres">
      <dgm:prSet presAssocID="{EE20A0F3-F319-4940-8C39-E6E1B2B4468C}" presName="quadrant4" presStyleLbl="node1" presStyleIdx="3" presStyleCnt="4">
        <dgm:presLayoutVars>
          <dgm:chMax val="1"/>
          <dgm:bulletEnabled val="1"/>
        </dgm:presLayoutVars>
      </dgm:prSet>
      <dgm:spPr/>
    </dgm:pt>
    <dgm:pt modelId="{5B5E9BE5-B3B3-BF4B-B286-6A579AC86CA7}" type="pres">
      <dgm:prSet presAssocID="{EE20A0F3-F319-4940-8C39-E6E1B2B4468C}" presName="quadrantPlaceholder" presStyleCnt="0"/>
      <dgm:spPr/>
    </dgm:pt>
    <dgm:pt modelId="{6222A193-DCAF-EF41-92CF-815682697F12}" type="pres">
      <dgm:prSet presAssocID="{EE20A0F3-F319-4940-8C39-E6E1B2B4468C}" presName="center1" presStyleLbl="fgShp" presStyleIdx="0" presStyleCnt="2"/>
      <dgm:spPr/>
    </dgm:pt>
    <dgm:pt modelId="{52209D15-3A73-1C40-BA5C-CE1D5A09569B}" type="pres">
      <dgm:prSet presAssocID="{EE20A0F3-F319-4940-8C39-E6E1B2B4468C}" presName="center2" presStyleLbl="fgShp" presStyleIdx="1" presStyleCnt="2"/>
      <dgm:spPr/>
    </dgm:pt>
  </dgm:ptLst>
  <dgm:cxnLst>
    <dgm:cxn modelId="{3CE58A02-87AF-D748-BC27-1BFB3B939634}" type="presOf" srcId="{653EAF5A-6429-7345-A82B-F1A40D718EA9}" destId="{6A2EAEF5-D700-B544-9DA1-322C33CF6498}" srcOrd="0" destOrd="0" presId="urn:microsoft.com/office/officeart/2005/8/layout/cycle4"/>
    <dgm:cxn modelId="{05748509-BA04-4D44-879A-251CC0C273D5}" srcId="{EE20A0F3-F319-4940-8C39-E6E1B2B4468C}" destId="{0C04E6AC-68CF-F744-935A-B8068D0BD5C3}" srcOrd="3" destOrd="0" parTransId="{A5881395-D15F-3A47-99EC-049D8CA493C1}" sibTransId="{DCBAF372-8386-3A44-BF43-4DB4F772E377}"/>
    <dgm:cxn modelId="{CE32E209-C455-1A4B-B2F3-D657A243F42D}" type="presOf" srcId="{76307A86-E6E1-434B-BDFA-026AF03FCA98}" destId="{FEB008E5-789F-804B-B3E9-01B6D27F4F13}" srcOrd="0" destOrd="0" presId="urn:microsoft.com/office/officeart/2005/8/layout/cycle4"/>
    <dgm:cxn modelId="{D3DF9C10-0D35-CF44-863E-CBB45C1F3B6E}" type="presOf" srcId="{04B1A5C3-15FC-054F-BFF2-4BDC746C0E7E}" destId="{7D0A0E3F-4E5A-B240-BCCD-BED661F6DDDE}" srcOrd="0" destOrd="0" presId="urn:microsoft.com/office/officeart/2005/8/layout/cycle4"/>
    <dgm:cxn modelId="{F6FA0F2B-0270-F54D-99BA-07E3C95D25B0}" type="presOf" srcId="{E7A753F1-3EF1-BD40-A8FA-4746C12CDBDA}" destId="{5B82F1CE-C7E2-844B-9341-60C70C05476C}" srcOrd="1" destOrd="0" presId="urn:microsoft.com/office/officeart/2005/8/layout/cycle4"/>
    <dgm:cxn modelId="{3C735C33-D6FE-8648-9F7D-532241D89104}" type="presOf" srcId="{213B6B92-9455-FE46-B04A-CCDB1622E9F1}" destId="{43726818-B4B8-224E-9151-AD4DCAA8FE43}" srcOrd="0" destOrd="0" presId="urn:microsoft.com/office/officeart/2005/8/layout/cycle4"/>
    <dgm:cxn modelId="{49CD5536-E828-3549-9431-BA126B0FBAE7}" type="presOf" srcId="{76307A86-E6E1-434B-BDFA-026AF03FCA98}" destId="{660055FC-2220-2F45-864A-C390E7E24D55}" srcOrd="1" destOrd="0" presId="urn:microsoft.com/office/officeart/2005/8/layout/cycle4"/>
    <dgm:cxn modelId="{FF85594F-9EBB-6E4D-8A21-E1A859B094F3}" srcId="{EE20A0F3-F319-4940-8C39-E6E1B2B4468C}" destId="{213B6B92-9455-FE46-B04A-CCDB1622E9F1}" srcOrd="0" destOrd="0" parTransId="{6F4E26F3-1367-C044-B2E3-8A04AD85AC58}" sibTransId="{5994999B-4D99-EE4D-8527-1AD8D80D8955}"/>
    <dgm:cxn modelId="{FB7ACF5C-08EE-8C47-9D9B-8BD18FBE0545}" type="presOf" srcId="{B2EDD041-23C3-1A4F-B668-080B62CC9F30}" destId="{83EF1500-C786-2246-A26C-84B802DDFC74}" srcOrd="0" destOrd="0" presId="urn:microsoft.com/office/officeart/2005/8/layout/cycle4"/>
    <dgm:cxn modelId="{3AC3985E-F156-1444-BA0B-90B31398F7F8}" type="presOf" srcId="{B2EDD041-23C3-1A4F-B668-080B62CC9F30}" destId="{81FB0C03-293A-864C-9208-C4CA57987FA0}" srcOrd="1" destOrd="0" presId="urn:microsoft.com/office/officeart/2005/8/layout/cycle4"/>
    <dgm:cxn modelId="{47EAA661-7343-FD4A-A776-99F280042282}" type="presOf" srcId="{04B1A5C3-15FC-054F-BFF2-4BDC746C0E7E}" destId="{81646714-392D-BF43-8B94-396BC050FFE7}" srcOrd="1" destOrd="0" presId="urn:microsoft.com/office/officeart/2005/8/layout/cycle4"/>
    <dgm:cxn modelId="{97D69B64-9D83-DF40-B4F2-2C7E1B685BBF}" type="presOf" srcId="{3F15A506-C967-3B41-A870-06F180802E23}" destId="{87EB9A4D-2E7B-2647-BD71-1A51CEDCEDB5}" srcOrd="0" destOrd="0" presId="urn:microsoft.com/office/officeart/2005/8/layout/cycle4"/>
    <dgm:cxn modelId="{30BA8E8A-7E0B-B14F-A400-8633D7CC58F3}" srcId="{0C04E6AC-68CF-F744-935A-B8068D0BD5C3}" destId="{B2EDD041-23C3-1A4F-B668-080B62CC9F30}" srcOrd="0" destOrd="0" parTransId="{CA42F30D-B87C-384C-8B9B-17C653C49CE1}" sibTransId="{BB53C2DA-376F-484E-AE09-1F8F17FC825A}"/>
    <dgm:cxn modelId="{2D1E08A6-0406-7A47-BE21-B9BD4FBC8988}" type="presOf" srcId="{EE20A0F3-F319-4940-8C39-E6E1B2B4468C}" destId="{76F89FAF-D53E-8646-B2D0-39BC99C60482}" srcOrd="0" destOrd="0" presId="urn:microsoft.com/office/officeart/2005/8/layout/cycle4"/>
    <dgm:cxn modelId="{833FDBA9-2E5C-DE47-856A-779DAAEAA6D4}" type="presOf" srcId="{0C04E6AC-68CF-F744-935A-B8068D0BD5C3}" destId="{8431D5CD-2ABB-EF4C-8E65-5E5E4042E3F0}" srcOrd="0" destOrd="0" presId="urn:microsoft.com/office/officeart/2005/8/layout/cycle4"/>
    <dgm:cxn modelId="{B5B08EB7-1B1C-294A-9421-3493238BAAC3}" srcId="{EE20A0F3-F319-4940-8C39-E6E1B2B4468C}" destId="{3F15A506-C967-3B41-A870-06F180802E23}" srcOrd="1" destOrd="0" parTransId="{6A54AA58-8851-104C-8930-F591044F4107}" sibTransId="{B2B871FE-0ABC-3441-A36A-8BF43484368B}"/>
    <dgm:cxn modelId="{D722F6CB-BF3C-A547-AD84-B7C912CD6AC6}" srcId="{EE20A0F3-F319-4940-8C39-E6E1B2B4468C}" destId="{653EAF5A-6429-7345-A82B-F1A40D718EA9}" srcOrd="2" destOrd="0" parTransId="{3AD98FF0-C386-0C4F-A875-3823B964B2C5}" sibTransId="{17D443C7-D67F-FB4C-A9B1-F8F5F6BE07CD}"/>
    <dgm:cxn modelId="{ECED18D0-4D3C-3049-81B8-7A207A2B2BA7}" type="presOf" srcId="{E7A753F1-3EF1-BD40-A8FA-4746C12CDBDA}" destId="{CA989F61-430A-804B-B0D2-51BC34916817}" srcOrd="0" destOrd="0" presId="urn:microsoft.com/office/officeart/2005/8/layout/cycle4"/>
    <dgm:cxn modelId="{E71B87F3-F6E4-1A40-BC54-8C30AA6E1988}" srcId="{3F15A506-C967-3B41-A870-06F180802E23}" destId="{76307A86-E6E1-434B-BDFA-026AF03FCA98}" srcOrd="0" destOrd="0" parTransId="{3A8BE10E-ED40-8947-8C00-C2F69A9543CF}" sibTransId="{FCC6FE0B-FA33-3F47-81E2-6A6FEE0F0D22}"/>
    <dgm:cxn modelId="{F23E70F4-B9CE-F746-A8CC-6754EE57869C}" srcId="{213B6B92-9455-FE46-B04A-CCDB1622E9F1}" destId="{04B1A5C3-15FC-054F-BFF2-4BDC746C0E7E}" srcOrd="0" destOrd="0" parTransId="{32160162-D4EE-9A4F-9D1C-5893A8EE238C}" sibTransId="{01BD003D-92DA-5B4B-A3EF-3EBE6B724559}"/>
    <dgm:cxn modelId="{1EF84DFA-5552-C840-A522-CCEA31F7B796}" srcId="{653EAF5A-6429-7345-A82B-F1A40D718EA9}" destId="{E7A753F1-3EF1-BD40-A8FA-4746C12CDBDA}" srcOrd="0" destOrd="0" parTransId="{36C81AD8-C407-BA47-9BD6-2566C52EB862}" sibTransId="{5F8E0203-E1B3-7B48-AE12-F1E60EB78020}"/>
    <dgm:cxn modelId="{F6E9A692-8764-B540-A1D4-0DDFFD98382D}" type="presParOf" srcId="{76F89FAF-D53E-8646-B2D0-39BC99C60482}" destId="{445C27B5-0199-1E48-A439-8B0E3E4BC316}" srcOrd="0" destOrd="0" presId="urn:microsoft.com/office/officeart/2005/8/layout/cycle4"/>
    <dgm:cxn modelId="{E905E3BE-893E-3A47-8419-F251C78B9077}" type="presParOf" srcId="{445C27B5-0199-1E48-A439-8B0E3E4BC316}" destId="{6A7D8EBA-7024-CB44-B4FA-857F9474FD82}" srcOrd="0" destOrd="0" presId="urn:microsoft.com/office/officeart/2005/8/layout/cycle4"/>
    <dgm:cxn modelId="{9F004A81-3922-794C-BF61-065F2D80BB5C}" type="presParOf" srcId="{6A7D8EBA-7024-CB44-B4FA-857F9474FD82}" destId="{7D0A0E3F-4E5A-B240-BCCD-BED661F6DDDE}" srcOrd="0" destOrd="0" presId="urn:microsoft.com/office/officeart/2005/8/layout/cycle4"/>
    <dgm:cxn modelId="{09D53DDC-160E-BD40-95B5-C3CB4B1D89CE}" type="presParOf" srcId="{6A7D8EBA-7024-CB44-B4FA-857F9474FD82}" destId="{81646714-392D-BF43-8B94-396BC050FFE7}" srcOrd="1" destOrd="0" presId="urn:microsoft.com/office/officeart/2005/8/layout/cycle4"/>
    <dgm:cxn modelId="{DCE89CA6-F704-154A-8545-2A6964052CE2}" type="presParOf" srcId="{445C27B5-0199-1E48-A439-8B0E3E4BC316}" destId="{1C76BD42-774B-E54C-A516-54CB531A64C0}" srcOrd="1" destOrd="0" presId="urn:microsoft.com/office/officeart/2005/8/layout/cycle4"/>
    <dgm:cxn modelId="{61C90942-44CE-DC48-A32B-F9F21FFEF381}" type="presParOf" srcId="{1C76BD42-774B-E54C-A516-54CB531A64C0}" destId="{FEB008E5-789F-804B-B3E9-01B6D27F4F13}" srcOrd="0" destOrd="0" presId="urn:microsoft.com/office/officeart/2005/8/layout/cycle4"/>
    <dgm:cxn modelId="{D03EE676-6F55-9944-A5BA-D94A16586AB4}" type="presParOf" srcId="{1C76BD42-774B-E54C-A516-54CB531A64C0}" destId="{660055FC-2220-2F45-864A-C390E7E24D55}" srcOrd="1" destOrd="0" presId="urn:microsoft.com/office/officeart/2005/8/layout/cycle4"/>
    <dgm:cxn modelId="{17C8F65F-2736-B441-8268-3CA0872AC9FD}" type="presParOf" srcId="{445C27B5-0199-1E48-A439-8B0E3E4BC316}" destId="{87801FA3-E80E-CA4B-8FD8-5AC50E47F7E9}" srcOrd="2" destOrd="0" presId="urn:microsoft.com/office/officeart/2005/8/layout/cycle4"/>
    <dgm:cxn modelId="{85CA478F-8CFB-A244-9BF6-CCB7EA273371}" type="presParOf" srcId="{87801FA3-E80E-CA4B-8FD8-5AC50E47F7E9}" destId="{CA989F61-430A-804B-B0D2-51BC34916817}" srcOrd="0" destOrd="0" presId="urn:microsoft.com/office/officeart/2005/8/layout/cycle4"/>
    <dgm:cxn modelId="{FA44680F-1462-F646-A8C0-251399150D13}" type="presParOf" srcId="{87801FA3-E80E-CA4B-8FD8-5AC50E47F7E9}" destId="{5B82F1CE-C7E2-844B-9341-60C70C05476C}" srcOrd="1" destOrd="0" presId="urn:microsoft.com/office/officeart/2005/8/layout/cycle4"/>
    <dgm:cxn modelId="{90871ADE-3240-694E-9D3F-396A2004612B}" type="presParOf" srcId="{445C27B5-0199-1E48-A439-8B0E3E4BC316}" destId="{C6B353AF-0ACB-924E-86A4-88D5AD193137}" srcOrd="3" destOrd="0" presId="urn:microsoft.com/office/officeart/2005/8/layout/cycle4"/>
    <dgm:cxn modelId="{675E0E4F-7CF1-CC40-93CF-60EBA24F9F27}" type="presParOf" srcId="{C6B353AF-0ACB-924E-86A4-88D5AD193137}" destId="{83EF1500-C786-2246-A26C-84B802DDFC74}" srcOrd="0" destOrd="0" presId="urn:microsoft.com/office/officeart/2005/8/layout/cycle4"/>
    <dgm:cxn modelId="{8CD53C0D-EBB6-FB4B-8DE8-8463192D292B}" type="presParOf" srcId="{C6B353AF-0ACB-924E-86A4-88D5AD193137}" destId="{81FB0C03-293A-864C-9208-C4CA57987FA0}" srcOrd="1" destOrd="0" presId="urn:microsoft.com/office/officeart/2005/8/layout/cycle4"/>
    <dgm:cxn modelId="{7180B6BB-8FF7-9A43-8E1F-752C2A66EF25}" type="presParOf" srcId="{445C27B5-0199-1E48-A439-8B0E3E4BC316}" destId="{578F7D7B-FECF-9F4E-8562-CC5D50C1D0EB}" srcOrd="4" destOrd="0" presId="urn:microsoft.com/office/officeart/2005/8/layout/cycle4"/>
    <dgm:cxn modelId="{50C1147E-A146-534D-BD4F-1C87029032B9}" type="presParOf" srcId="{76F89FAF-D53E-8646-B2D0-39BC99C60482}" destId="{BBD802C3-6194-6744-B056-146C58ECC920}" srcOrd="1" destOrd="0" presId="urn:microsoft.com/office/officeart/2005/8/layout/cycle4"/>
    <dgm:cxn modelId="{B69C3AA4-C9B0-0E45-967F-5BCAD58A5E51}" type="presParOf" srcId="{BBD802C3-6194-6744-B056-146C58ECC920}" destId="{43726818-B4B8-224E-9151-AD4DCAA8FE43}" srcOrd="0" destOrd="0" presId="urn:microsoft.com/office/officeart/2005/8/layout/cycle4"/>
    <dgm:cxn modelId="{CD055516-CF1C-A34F-95CA-4499713B1587}" type="presParOf" srcId="{BBD802C3-6194-6744-B056-146C58ECC920}" destId="{87EB9A4D-2E7B-2647-BD71-1A51CEDCEDB5}" srcOrd="1" destOrd="0" presId="urn:microsoft.com/office/officeart/2005/8/layout/cycle4"/>
    <dgm:cxn modelId="{A021AB65-6BD2-8340-8DB8-CDFB8F9B9CC3}" type="presParOf" srcId="{BBD802C3-6194-6744-B056-146C58ECC920}" destId="{6A2EAEF5-D700-B544-9DA1-322C33CF6498}" srcOrd="2" destOrd="0" presId="urn:microsoft.com/office/officeart/2005/8/layout/cycle4"/>
    <dgm:cxn modelId="{B85F36F5-467A-8F42-9183-0FD685C597BE}" type="presParOf" srcId="{BBD802C3-6194-6744-B056-146C58ECC920}" destId="{8431D5CD-2ABB-EF4C-8E65-5E5E4042E3F0}" srcOrd="3" destOrd="0" presId="urn:microsoft.com/office/officeart/2005/8/layout/cycle4"/>
    <dgm:cxn modelId="{C983DF7C-AA08-3D44-857E-102C8D7EDB0C}" type="presParOf" srcId="{BBD802C3-6194-6744-B056-146C58ECC920}" destId="{5B5E9BE5-B3B3-BF4B-B286-6A579AC86CA7}" srcOrd="4" destOrd="0" presId="urn:microsoft.com/office/officeart/2005/8/layout/cycle4"/>
    <dgm:cxn modelId="{5532A685-7D96-0E44-8E92-C42892B1F10C}" type="presParOf" srcId="{76F89FAF-D53E-8646-B2D0-39BC99C60482}" destId="{6222A193-DCAF-EF41-92CF-815682697F12}" srcOrd="2" destOrd="0" presId="urn:microsoft.com/office/officeart/2005/8/layout/cycle4"/>
    <dgm:cxn modelId="{B3E12674-AF2D-8941-9589-61FA3542611C}" type="presParOf" srcId="{76F89FAF-D53E-8646-B2D0-39BC99C60482}" destId="{52209D15-3A73-1C40-BA5C-CE1D5A09569B}" srcOrd="3" destOrd="0" presId="urn:microsoft.com/office/officeart/2005/8/layout/cycle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989F61-430A-804B-B0D2-51BC34916817}">
      <dsp:nvSpPr>
        <dsp:cNvPr id="0" name=""/>
        <dsp:cNvSpPr/>
      </dsp:nvSpPr>
      <dsp:spPr>
        <a:xfrm>
          <a:off x="961809" y="1012991"/>
          <a:ext cx="589495" cy="381859"/>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GB" sz="600" kern="1200"/>
            <a:t>Monitor</a:t>
          </a:r>
        </a:p>
      </dsp:txBody>
      <dsp:txXfrm>
        <a:off x="1147045" y="1116843"/>
        <a:ext cx="395871" cy="269618"/>
      </dsp:txXfrm>
    </dsp:sp>
    <dsp:sp modelId="{83EF1500-C786-2246-A26C-84B802DDFC74}">
      <dsp:nvSpPr>
        <dsp:cNvPr id="0" name=""/>
        <dsp:cNvSpPr/>
      </dsp:nvSpPr>
      <dsp:spPr>
        <a:xfrm>
          <a:off x="0" y="1012991"/>
          <a:ext cx="589495" cy="381859"/>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GB" sz="600" kern="1200"/>
            <a:t>Improve</a:t>
          </a:r>
        </a:p>
      </dsp:txBody>
      <dsp:txXfrm>
        <a:off x="8388" y="1116843"/>
        <a:ext cx="395871" cy="269618"/>
      </dsp:txXfrm>
    </dsp:sp>
    <dsp:sp modelId="{FEB008E5-789F-804B-B3E9-01B6D27F4F13}">
      <dsp:nvSpPr>
        <dsp:cNvPr id="0" name=""/>
        <dsp:cNvSpPr/>
      </dsp:nvSpPr>
      <dsp:spPr>
        <a:xfrm>
          <a:off x="961809" y="201539"/>
          <a:ext cx="589495" cy="381859"/>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GB" sz="600" kern="1200"/>
            <a:t>Perform</a:t>
          </a:r>
        </a:p>
      </dsp:txBody>
      <dsp:txXfrm>
        <a:off x="1147045" y="209927"/>
        <a:ext cx="395871" cy="269618"/>
      </dsp:txXfrm>
    </dsp:sp>
    <dsp:sp modelId="{7D0A0E3F-4E5A-B240-BCCD-BED661F6DDDE}">
      <dsp:nvSpPr>
        <dsp:cNvPr id="0" name=""/>
        <dsp:cNvSpPr/>
      </dsp:nvSpPr>
      <dsp:spPr>
        <a:xfrm>
          <a:off x="0" y="201539"/>
          <a:ext cx="589495" cy="381859"/>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GB" sz="600" kern="1200"/>
            <a:t>Plan </a:t>
          </a:r>
        </a:p>
      </dsp:txBody>
      <dsp:txXfrm>
        <a:off x="8388" y="209927"/>
        <a:ext cx="395871" cy="269618"/>
      </dsp:txXfrm>
    </dsp:sp>
    <dsp:sp modelId="{43726818-B4B8-224E-9151-AD4DCAA8FE43}">
      <dsp:nvSpPr>
        <dsp:cNvPr id="0" name=""/>
        <dsp:cNvSpPr/>
      </dsp:nvSpPr>
      <dsp:spPr>
        <a:xfrm>
          <a:off x="247015" y="269557"/>
          <a:ext cx="516703" cy="516703"/>
        </a:xfrm>
        <a:prstGeom prst="pieWedg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GB" sz="800" kern="1200"/>
            <a:t>Plan</a:t>
          </a:r>
        </a:p>
      </dsp:txBody>
      <dsp:txXfrm>
        <a:off x="398354" y="420896"/>
        <a:ext cx="365364" cy="365364"/>
      </dsp:txXfrm>
    </dsp:sp>
    <dsp:sp modelId="{87EB9A4D-2E7B-2647-BD71-1A51CEDCEDB5}">
      <dsp:nvSpPr>
        <dsp:cNvPr id="0" name=""/>
        <dsp:cNvSpPr/>
      </dsp:nvSpPr>
      <dsp:spPr>
        <a:xfrm rot="5400000">
          <a:off x="787585" y="269557"/>
          <a:ext cx="516703" cy="516703"/>
        </a:xfrm>
        <a:prstGeom prst="pieWedge">
          <a:avLst/>
        </a:prstGeom>
        <a:solidFill>
          <a:schemeClr val="accent4">
            <a:hueOff val="-1488257"/>
            <a:satOff val="8966"/>
            <a:lumOff val="719"/>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GB" sz="800" kern="1200"/>
            <a:t>Do</a:t>
          </a:r>
        </a:p>
      </dsp:txBody>
      <dsp:txXfrm rot="-5400000">
        <a:off x="787585" y="420896"/>
        <a:ext cx="365364" cy="365364"/>
      </dsp:txXfrm>
    </dsp:sp>
    <dsp:sp modelId="{6A2EAEF5-D700-B544-9DA1-322C33CF6498}">
      <dsp:nvSpPr>
        <dsp:cNvPr id="0" name=""/>
        <dsp:cNvSpPr/>
      </dsp:nvSpPr>
      <dsp:spPr>
        <a:xfrm rot="10800000">
          <a:off x="787585" y="810128"/>
          <a:ext cx="516703" cy="516703"/>
        </a:xfrm>
        <a:prstGeom prst="pieWedge">
          <a:avLst/>
        </a:prstGeom>
        <a:solidFill>
          <a:schemeClr val="accent4">
            <a:hueOff val="-2976513"/>
            <a:satOff val="17933"/>
            <a:lumOff val="143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GB" sz="800" kern="1200"/>
            <a:t>Check</a:t>
          </a:r>
        </a:p>
      </dsp:txBody>
      <dsp:txXfrm rot="10800000">
        <a:off x="787585" y="810128"/>
        <a:ext cx="365364" cy="365364"/>
      </dsp:txXfrm>
    </dsp:sp>
    <dsp:sp modelId="{8431D5CD-2ABB-EF4C-8E65-5E5E4042E3F0}">
      <dsp:nvSpPr>
        <dsp:cNvPr id="0" name=""/>
        <dsp:cNvSpPr/>
      </dsp:nvSpPr>
      <dsp:spPr>
        <a:xfrm rot="16200000">
          <a:off x="247015" y="810128"/>
          <a:ext cx="516703" cy="516703"/>
        </a:xfrm>
        <a:prstGeom prst="pieWedge">
          <a:avLst/>
        </a:prstGeom>
        <a:solidFill>
          <a:schemeClr val="accent4">
            <a:hueOff val="-4464770"/>
            <a:satOff val="26899"/>
            <a:lumOff val="215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GB" sz="800" kern="1200"/>
            <a:t>Act</a:t>
          </a:r>
        </a:p>
      </dsp:txBody>
      <dsp:txXfrm rot="5400000">
        <a:off x="398354" y="810128"/>
        <a:ext cx="365364" cy="365364"/>
      </dsp:txXfrm>
    </dsp:sp>
    <dsp:sp modelId="{6222A193-DCAF-EF41-92CF-815682697F12}">
      <dsp:nvSpPr>
        <dsp:cNvPr id="0" name=""/>
        <dsp:cNvSpPr/>
      </dsp:nvSpPr>
      <dsp:spPr>
        <a:xfrm>
          <a:off x="686452" y="690796"/>
          <a:ext cx="178400" cy="155130"/>
        </a:xfrm>
        <a:prstGeom prst="circularArrow">
          <a:avLst/>
        </a:prstGeom>
        <a:solidFill>
          <a:schemeClr val="accent4">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2209D15-3A73-1C40-BA5C-CE1D5A09569B}">
      <dsp:nvSpPr>
        <dsp:cNvPr id="0" name=""/>
        <dsp:cNvSpPr/>
      </dsp:nvSpPr>
      <dsp:spPr>
        <a:xfrm rot="10800000">
          <a:off x="686452" y="750462"/>
          <a:ext cx="178400" cy="155130"/>
        </a:xfrm>
        <a:prstGeom prst="circularArrow">
          <a:avLst/>
        </a:prstGeom>
        <a:solidFill>
          <a:schemeClr val="accent4">
            <a:tint val="4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0894C-2131-A441-8E22-4CAAC5B18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1157</Words>
  <Characters>6598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Jen Sowter</cp:lastModifiedBy>
  <cp:revision>1</cp:revision>
  <dcterms:created xsi:type="dcterms:W3CDTF">2015-01-26T12:24:00Z</dcterms:created>
  <dcterms:modified xsi:type="dcterms:W3CDTF">2019-08-23T13:16:00Z</dcterms:modified>
</cp:coreProperties>
</file>