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1162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8536A">
            <w:pPr>
              <w:pStyle w:val="Default"/>
              <w:rPr>
                <w:rFonts w:asciiTheme="minorHAnsi" w:hAnsiTheme="minorHAnsi"/>
              </w:rPr>
            </w:pPr>
            <w:r>
              <w:rPr>
                <w:rFonts w:asciiTheme="minorHAnsi" w:hAnsiTheme="minorHAnsi"/>
              </w:rPr>
              <w:t>Shiferaw Hailu Wolde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F1467">
            <w:pPr>
              <w:pStyle w:val="Default"/>
              <w:rPr>
                <w:rFonts w:asciiTheme="minorHAnsi" w:hAnsiTheme="minorHAnsi"/>
              </w:rPr>
            </w:pPr>
            <w:r>
              <w:rPr>
                <w:rFonts w:asciiTheme="minorHAnsi" w:hAnsiTheme="minorHAnsi"/>
              </w:rPr>
              <w:t>10499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F63D3">
            <w:pPr>
              <w:pStyle w:val="Default"/>
              <w:rPr>
                <w:rFonts w:asciiTheme="minorHAnsi" w:hAnsiTheme="minorHAnsi"/>
              </w:rPr>
            </w:pPr>
            <w:r>
              <w:rPr>
                <w:rFonts w:asciiTheme="minorHAnsi" w:hAnsiTheme="minorHAnsi"/>
              </w:rPr>
              <w:t>Public Relation</w:t>
            </w:r>
            <w:r w:rsidR="00601D74">
              <w:rPr>
                <w:rFonts w:asciiTheme="minorHAnsi" w:hAnsiTheme="minorHAnsi"/>
              </w:rPr>
              <w:t>/Short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C234C">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378" w:type="dxa"/>
        <w:tblLook w:val="04A0"/>
      </w:tblPr>
      <w:tblGrid>
        <w:gridCol w:w="9378"/>
      </w:tblGrid>
      <w:tr w:rsidR="00CC2FB3" w:rsidTr="001457F3">
        <w:tc>
          <w:tcPr>
            <w:tcW w:w="9378" w:type="dxa"/>
          </w:tcPr>
          <w:p w:rsidR="00CC2FB3" w:rsidRPr="000F63D3" w:rsidRDefault="00CC2FB3" w:rsidP="00A851DA">
            <w:pPr>
              <w:rPr>
                <w:b/>
                <w:sz w:val="24"/>
                <w:szCs w:val="24"/>
              </w:rPr>
            </w:pPr>
          </w:p>
          <w:p w:rsidR="000F63D3" w:rsidRPr="000F63D3" w:rsidRDefault="000F63D3" w:rsidP="000F63D3">
            <w:pPr>
              <w:pStyle w:val="ListParagraph"/>
              <w:numPr>
                <w:ilvl w:val="0"/>
                <w:numId w:val="2"/>
              </w:numPr>
              <w:spacing w:line="360" w:lineRule="auto"/>
              <w:ind w:right="20"/>
              <w:jc w:val="both"/>
              <w:rPr>
                <w:rFonts w:ascii="Arial" w:hAnsi="Arial" w:cs="Arial"/>
                <w:b/>
                <w:color w:val="7030A0"/>
                <w:sz w:val="24"/>
                <w:szCs w:val="24"/>
              </w:rPr>
            </w:pPr>
            <w:r w:rsidRPr="000F63D3">
              <w:rPr>
                <w:rFonts w:ascii="Arial" w:hAnsi="Arial" w:cs="Arial"/>
                <w:b/>
                <w:color w:val="7030A0"/>
                <w:sz w:val="24"/>
                <w:szCs w:val="24"/>
              </w:rPr>
              <w:t>Define the term Public Relation/PR/.</w:t>
            </w:r>
          </w:p>
          <w:p w:rsidR="000F63D3" w:rsidRPr="000F63D3" w:rsidRDefault="000F63D3" w:rsidP="000F63D3">
            <w:pPr>
              <w:spacing w:line="360" w:lineRule="auto"/>
              <w:ind w:right="20"/>
              <w:jc w:val="both"/>
              <w:rPr>
                <w:rFonts w:ascii="Arial" w:hAnsi="Arial" w:cs="Arial"/>
                <w:sz w:val="24"/>
                <w:szCs w:val="24"/>
              </w:rPr>
            </w:pPr>
            <w:r w:rsidRPr="000F63D3">
              <w:rPr>
                <w:rFonts w:ascii="Arial" w:hAnsi="Arial" w:cs="Arial"/>
                <w:b/>
                <w:color w:val="31849B" w:themeColor="accent5" w:themeShade="BF"/>
                <w:sz w:val="24"/>
                <w:szCs w:val="24"/>
              </w:rPr>
              <w:t>Answer:</w:t>
            </w:r>
            <w:r w:rsidRPr="000F63D3">
              <w:rPr>
                <w:rFonts w:ascii="Arial" w:hAnsi="Arial" w:cs="Arial"/>
                <w:b/>
                <w:color w:val="7030A0"/>
                <w:sz w:val="24"/>
                <w:szCs w:val="24"/>
              </w:rPr>
              <w:t xml:space="preserve"> Public Relation</w:t>
            </w:r>
            <w:r w:rsidRPr="000F63D3">
              <w:rPr>
                <w:rFonts w:ascii="Arial" w:hAnsi="Arial" w:cs="Arial"/>
                <w:b/>
                <w:sz w:val="24"/>
                <w:szCs w:val="24"/>
              </w:rPr>
              <w:t xml:space="preserve"> is </w:t>
            </w:r>
            <w:r w:rsidRPr="000F63D3">
              <w:rPr>
                <w:rFonts w:ascii="Arial" w:eastAsia="Calibri" w:hAnsi="Arial" w:cs="Arial"/>
                <w:sz w:val="24"/>
                <w:szCs w:val="24"/>
              </w:rPr>
              <w:t>an attempt through information, persuasion, adjustment, and contacts, to seek support for some activities, causes, movements, insti</w:t>
            </w:r>
            <w:r w:rsidRPr="000F63D3">
              <w:rPr>
                <w:rFonts w:ascii="Arial" w:hAnsi="Arial" w:cs="Arial"/>
                <w:sz w:val="24"/>
                <w:szCs w:val="24"/>
              </w:rPr>
              <w:t xml:space="preserve">tutions, products, or services. In addition, </w:t>
            </w:r>
            <w:r w:rsidRPr="000F63D3">
              <w:rPr>
                <w:rFonts w:ascii="Arial" w:hAnsi="Arial" w:cs="Arial"/>
                <w:color w:val="C0504D" w:themeColor="accent2"/>
                <w:sz w:val="24"/>
                <w:szCs w:val="24"/>
              </w:rPr>
              <w:t>PR</w:t>
            </w:r>
            <w:r w:rsidRPr="000F63D3">
              <w:rPr>
                <w:rFonts w:ascii="Arial" w:hAnsi="Arial" w:cs="Arial"/>
                <w:sz w:val="24"/>
                <w:szCs w:val="24"/>
              </w:rPr>
              <w:t xml:space="preserve"> is </w:t>
            </w:r>
            <w:r w:rsidRPr="000F63D3">
              <w:rPr>
                <w:rFonts w:ascii="Arial" w:eastAsia="Calibri" w:hAnsi="Arial" w:cs="Arial"/>
                <w:sz w:val="24"/>
                <w:szCs w:val="24"/>
              </w:rPr>
              <w:t>the planned effort to influence opinion through good character and responsible performance, based upon mutually satisf</w:t>
            </w:r>
            <w:r w:rsidRPr="000F63D3">
              <w:rPr>
                <w:rFonts w:ascii="Arial" w:hAnsi="Arial" w:cs="Arial"/>
                <w:sz w:val="24"/>
                <w:szCs w:val="24"/>
              </w:rPr>
              <w:t>actory two-way communication.</w:t>
            </w:r>
          </w:p>
          <w:p w:rsidR="000F63D3" w:rsidRPr="000F63D3" w:rsidRDefault="000F63D3" w:rsidP="000F63D3">
            <w:pPr>
              <w:pStyle w:val="ListParagraph"/>
              <w:numPr>
                <w:ilvl w:val="0"/>
                <w:numId w:val="2"/>
              </w:numPr>
              <w:spacing w:line="360" w:lineRule="auto"/>
              <w:ind w:right="20"/>
              <w:jc w:val="both"/>
              <w:rPr>
                <w:rFonts w:ascii="Arial" w:hAnsi="Arial" w:cs="Arial"/>
                <w:b/>
                <w:color w:val="7030A0"/>
                <w:sz w:val="24"/>
                <w:szCs w:val="24"/>
              </w:rPr>
            </w:pPr>
            <w:r w:rsidRPr="000F63D3">
              <w:rPr>
                <w:rFonts w:ascii="Arial" w:hAnsi="Arial" w:cs="Arial"/>
                <w:b/>
                <w:color w:val="7030A0"/>
                <w:sz w:val="24"/>
                <w:szCs w:val="24"/>
              </w:rPr>
              <w:t>Define the term “Publicity”.</w:t>
            </w:r>
          </w:p>
          <w:p w:rsidR="000F63D3" w:rsidRPr="000F63D3" w:rsidRDefault="000F63D3" w:rsidP="000F63D3">
            <w:pPr>
              <w:spacing w:line="360" w:lineRule="auto"/>
              <w:jc w:val="both"/>
              <w:rPr>
                <w:rFonts w:ascii="Arial" w:hAnsi="Arial" w:cs="Arial"/>
                <w:sz w:val="24"/>
                <w:szCs w:val="24"/>
              </w:rPr>
            </w:pPr>
            <w:r w:rsidRPr="000F63D3">
              <w:rPr>
                <w:rFonts w:ascii="Arial" w:hAnsi="Arial" w:cs="Arial"/>
                <w:b/>
                <w:color w:val="31849B" w:themeColor="accent5" w:themeShade="BF"/>
                <w:sz w:val="24"/>
                <w:szCs w:val="24"/>
              </w:rPr>
              <w:t xml:space="preserve">Answer:  </w:t>
            </w:r>
            <w:r w:rsidRPr="000F63D3">
              <w:rPr>
                <w:rFonts w:ascii="Arial" w:hAnsi="Arial" w:cs="Arial"/>
                <w:b/>
                <w:color w:val="7030A0"/>
                <w:sz w:val="24"/>
                <w:szCs w:val="24"/>
              </w:rPr>
              <w:t>Publicity</w:t>
            </w:r>
            <w:r w:rsidRPr="000F63D3">
              <w:rPr>
                <w:rFonts w:ascii="Arial" w:hAnsi="Arial" w:cs="Arial"/>
                <w:b/>
                <w:color w:val="31849B" w:themeColor="accent5" w:themeShade="BF"/>
                <w:sz w:val="24"/>
                <w:szCs w:val="24"/>
              </w:rPr>
              <w:t xml:space="preserve"> </w:t>
            </w:r>
            <w:r w:rsidRPr="000F63D3">
              <w:rPr>
                <w:rFonts w:ascii="Arial" w:eastAsia="Calibri" w:hAnsi="Arial" w:cs="Arial"/>
                <w:sz w:val="24"/>
                <w:szCs w:val="24"/>
              </w:rPr>
              <w:t xml:space="preserve">involves having products or services featured in newspapers or non-commercial programmes on TV or radio without paying for it. The feature article to be produced on the companies profile, products or services is prepared by a journalist on their own volition or at the behest of the company who have something to announce on the ‘special’ product or service which they believe may be of interest to the public. </w:t>
            </w:r>
          </w:p>
          <w:p w:rsidR="000F63D3" w:rsidRPr="000F63D3" w:rsidRDefault="000F63D3" w:rsidP="000F63D3">
            <w:pPr>
              <w:spacing w:line="360" w:lineRule="auto"/>
              <w:jc w:val="both"/>
              <w:rPr>
                <w:rFonts w:ascii="Arial" w:hAnsi="Arial" w:cs="Arial"/>
                <w:sz w:val="24"/>
                <w:szCs w:val="24"/>
              </w:rPr>
            </w:pPr>
            <w:r w:rsidRPr="000F63D3">
              <w:rPr>
                <w:rFonts w:ascii="Arial" w:hAnsi="Arial" w:cs="Arial"/>
                <w:b/>
                <w:color w:val="7030A0"/>
                <w:sz w:val="24"/>
                <w:szCs w:val="24"/>
              </w:rPr>
              <w:t xml:space="preserve">Publicity </w:t>
            </w:r>
            <w:r w:rsidRPr="000F63D3">
              <w:rPr>
                <w:rFonts w:ascii="Arial" w:eastAsia="Calibri" w:hAnsi="Arial" w:cs="Arial"/>
                <w:sz w:val="24"/>
                <w:szCs w:val="24"/>
              </w:rPr>
              <w:t xml:space="preserve"> is mainly used as a tactical tool to a great extent by PR consultants to achieve specific objectives. It lends itself to being a very credible too because, it is perceived as originating from the media house and not the company, therefore the messages are widely accepted. In-depth skill is required to reap full benefit from </w:t>
            </w:r>
            <w:r w:rsidRPr="000F63D3">
              <w:rPr>
                <w:rFonts w:ascii="Arial" w:eastAsia="Calibri" w:hAnsi="Arial" w:cs="Arial"/>
                <w:sz w:val="24"/>
                <w:szCs w:val="24"/>
              </w:rPr>
              <w:lastRenderedPageBreak/>
              <w:t>publicity campaigns otherwise it may do more damage than good when not properly applied. This means that messages should be well-worded, factual, and truthful and not portrayed in a manner as to be perceived as an advertisement.</w:t>
            </w:r>
          </w:p>
          <w:p w:rsidR="000F63D3" w:rsidRPr="000F63D3" w:rsidRDefault="000F63D3" w:rsidP="000F63D3">
            <w:pPr>
              <w:spacing w:line="360" w:lineRule="auto"/>
              <w:jc w:val="both"/>
              <w:rPr>
                <w:rFonts w:ascii="Arial" w:hAnsi="Arial" w:cs="Arial"/>
                <w:sz w:val="24"/>
                <w:szCs w:val="24"/>
              </w:rPr>
            </w:pPr>
          </w:p>
          <w:p w:rsidR="000F63D3" w:rsidRPr="000F63D3" w:rsidRDefault="000F63D3" w:rsidP="000F63D3">
            <w:pPr>
              <w:pStyle w:val="ListParagraph"/>
              <w:numPr>
                <w:ilvl w:val="0"/>
                <w:numId w:val="2"/>
              </w:numPr>
              <w:spacing w:line="360" w:lineRule="auto"/>
              <w:jc w:val="both"/>
              <w:rPr>
                <w:rFonts w:ascii="Arial" w:hAnsi="Arial" w:cs="Arial"/>
                <w:sz w:val="24"/>
                <w:szCs w:val="24"/>
              </w:rPr>
            </w:pPr>
            <w:r w:rsidRPr="000F63D3">
              <w:rPr>
                <w:rFonts w:ascii="Arial" w:hAnsi="Arial" w:cs="Arial"/>
                <w:b/>
                <w:color w:val="7030A0"/>
                <w:sz w:val="24"/>
                <w:szCs w:val="24"/>
              </w:rPr>
              <w:t xml:space="preserve">What are the similarities between Public Relations, Publicity and Advertising? Name the two main branches of Advertising. </w:t>
            </w:r>
          </w:p>
          <w:p w:rsidR="000F63D3" w:rsidRPr="000F63D3" w:rsidRDefault="000F63D3" w:rsidP="000F63D3">
            <w:pPr>
              <w:spacing w:line="360" w:lineRule="auto"/>
              <w:jc w:val="both"/>
              <w:rPr>
                <w:rFonts w:ascii="Arial" w:hAnsi="Arial" w:cs="Arial"/>
                <w:sz w:val="24"/>
                <w:szCs w:val="24"/>
              </w:rPr>
            </w:pPr>
            <w:r w:rsidRPr="000F63D3">
              <w:rPr>
                <w:rFonts w:ascii="Arial" w:hAnsi="Arial" w:cs="Arial"/>
                <w:b/>
                <w:color w:val="31849B" w:themeColor="accent5" w:themeShade="BF"/>
                <w:sz w:val="24"/>
                <w:szCs w:val="24"/>
              </w:rPr>
              <w:t xml:space="preserve">Answer:  </w:t>
            </w:r>
            <w:r w:rsidRPr="000F63D3">
              <w:rPr>
                <w:rFonts w:ascii="Arial" w:eastAsia="Calibri" w:hAnsi="Arial" w:cs="Arial"/>
                <w:sz w:val="24"/>
                <w:szCs w:val="24"/>
              </w:rPr>
              <w:t>Similarities between PR, advertising, and publicity are mainly found in:</w:t>
            </w:r>
          </w:p>
          <w:p w:rsidR="000F63D3" w:rsidRPr="000F63D3" w:rsidRDefault="000F63D3" w:rsidP="000F63D3">
            <w:pPr>
              <w:pStyle w:val="ListParagraph"/>
              <w:numPr>
                <w:ilvl w:val="0"/>
                <w:numId w:val="3"/>
              </w:numPr>
              <w:tabs>
                <w:tab w:val="left" w:pos="810"/>
              </w:tabs>
              <w:spacing w:line="360" w:lineRule="auto"/>
              <w:ind w:left="900" w:hanging="540"/>
              <w:jc w:val="both"/>
              <w:rPr>
                <w:rFonts w:ascii="Arial" w:hAnsi="Arial" w:cs="Arial"/>
                <w:sz w:val="24"/>
                <w:szCs w:val="24"/>
              </w:rPr>
            </w:pPr>
            <w:r w:rsidRPr="000F63D3">
              <w:rPr>
                <w:rFonts w:ascii="Arial" w:hAnsi="Arial" w:cs="Arial"/>
                <w:sz w:val="24"/>
                <w:szCs w:val="24"/>
              </w:rPr>
              <w:t>The media used for communication</w:t>
            </w:r>
          </w:p>
          <w:p w:rsidR="000F63D3" w:rsidRPr="000F63D3" w:rsidRDefault="000F63D3" w:rsidP="000F63D3">
            <w:pPr>
              <w:pStyle w:val="ListParagraph"/>
              <w:numPr>
                <w:ilvl w:val="0"/>
                <w:numId w:val="3"/>
              </w:numPr>
              <w:spacing w:line="360" w:lineRule="auto"/>
              <w:ind w:left="810" w:hanging="450"/>
              <w:jc w:val="both"/>
              <w:rPr>
                <w:rFonts w:ascii="Arial" w:hAnsi="Arial" w:cs="Arial"/>
                <w:sz w:val="24"/>
                <w:szCs w:val="24"/>
              </w:rPr>
            </w:pPr>
            <w:r w:rsidRPr="000F63D3">
              <w:rPr>
                <w:rFonts w:ascii="Arial" w:hAnsi="Arial" w:cs="Arial"/>
                <w:sz w:val="24"/>
                <w:szCs w:val="24"/>
              </w:rPr>
              <w:t>The elements used to create the message</w:t>
            </w:r>
          </w:p>
          <w:p w:rsidR="000F63D3" w:rsidRPr="000F63D3" w:rsidRDefault="000F63D3" w:rsidP="000F63D3">
            <w:pPr>
              <w:spacing w:line="360" w:lineRule="auto"/>
              <w:jc w:val="both"/>
              <w:rPr>
                <w:rFonts w:ascii="Arial" w:hAnsi="Arial" w:cs="Arial"/>
                <w:b/>
                <w:color w:val="215868" w:themeColor="accent5" w:themeShade="80"/>
                <w:sz w:val="24"/>
                <w:szCs w:val="24"/>
              </w:rPr>
            </w:pPr>
            <w:r w:rsidRPr="000F63D3">
              <w:rPr>
                <w:rFonts w:ascii="Arial" w:hAnsi="Arial" w:cs="Arial"/>
                <w:sz w:val="24"/>
                <w:szCs w:val="24"/>
              </w:rPr>
              <w:t xml:space="preserve">The two main branches of advertising are </w:t>
            </w:r>
            <w:r w:rsidRPr="000F63D3">
              <w:rPr>
                <w:rFonts w:ascii="Arial" w:hAnsi="Arial" w:cs="Arial"/>
                <w:b/>
                <w:color w:val="215868" w:themeColor="accent5" w:themeShade="80"/>
                <w:sz w:val="24"/>
                <w:szCs w:val="24"/>
              </w:rPr>
              <w:t>Product Advertising and Corporate/Institutional Advertising.</w:t>
            </w:r>
          </w:p>
          <w:p w:rsidR="000F63D3" w:rsidRPr="000F63D3" w:rsidRDefault="000F63D3" w:rsidP="000F63D3">
            <w:pPr>
              <w:pStyle w:val="ListParagraph"/>
              <w:numPr>
                <w:ilvl w:val="0"/>
                <w:numId w:val="2"/>
              </w:numPr>
              <w:spacing w:line="360" w:lineRule="auto"/>
              <w:jc w:val="both"/>
              <w:rPr>
                <w:rFonts w:ascii="Arial" w:hAnsi="Arial" w:cs="Arial"/>
                <w:b/>
                <w:color w:val="7030A0"/>
                <w:sz w:val="24"/>
                <w:szCs w:val="24"/>
              </w:rPr>
            </w:pPr>
            <w:r w:rsidRPr="000F63D3">
              <w:rPr>
                <w:rFonts w:ascii="Arial" w:hAnsi="Arial" w:cs="Arial"/>
                <w:b/>
                <w:color w:val="7030A0"/>
                <w:sz w:val="24"/>
                <w:szCs w:val="24"/>
              </w:rPr>
              <w:t>What are the advantages and limitations of exhibitions as Public Relations tools?</w:t>
            </w:r>
          </w:p>
          <w:p w:rsidR="000F63D3" w:rsidRPr="000F63D3" w:rsidRDefault="000F63D3" w:rsidP="000F63D3">
            <w:pPr>
              <w:pStyle w:val="ListParagraph"/>
              <w:spacing w:line="360" w:lineRule="auto"/>
              <w:ind w:left="540"/>
              <w:jc w:val="both"/>
              <w:rPr>
                <w:rFonts w:ascii="Arial" w:hAnsi="Arial" w:cs="Arial"/>
                <w:b/>
                <w:color w:val="31849B" w:themeColor="accent5" w:themeShade="BF"/>
                <w:sz w:val="24"/>
                <w:szCs w:val="24"/>
              </w:rPr>
            </w:pPr>
            <w:r w:rsidRPr="000F63D3">
              <w:rPr>
                <w:rFonts w:ascii="Arial" w:hAnsi="Arial" w:cs="Arial"/>
                <w:b/>
                <w:color w:val="31849B" w:themeColor="accent5" w:themeShade="BF"/>
                <w:sz w:val="24"/>
                <w:szCs w:val="24"/>
              </w:rPr>
              <w:t xml:space="preserve">Answer:  </w:t>
            </w:r>
          </w:p>
          <w:p w:rsidR="000F63D3" w:rsidRPr="000F63D3" w:rsidRDefault="000F63D3" w:rsidP="000F63D3">
            <w:pPr>
              <w:spacing w:line="360" w:lineRule="auto"/>
              <w:jc w:val="both"/>
              <w:rPr>
                <w:rFonts w:ascii="Arial" w:hAnsi="Arial" w:cs="Arial"/>
                <w:b/>
                <w:color w:val="31849B" w:themeColor="accent5" w:themeShade="BF"/>
                <w:sz w:val="24"/>
                <w:szCs w:val="24"/>
              </w:rPr>
            </w:pPr>
            <w:r w:rsidRPr="000F63D3">
              <w:rPr>
                <w:rFonts w:ascii="Arial" w:hAnsi="Arial" w:cs="Arial"/>
                <w:b/>
                <w:color w:val="31849B" w:themeColor="accent5" w:themeShade="BF"/>
                <w:sz w:val="24"/>
                <w:szCs w:val="24"/>
              </w:rPr>
              <w:t>Advantages of Exhibitions:</w:t>
            </w:r>
          </w:p>
          <w:p w:rsidR="000F63D3" w:rsidRPr="000F63D3" w:rsidRDefault="000F63D3" w:rsidP="000F63D3">
            <w:pPr>
              <w:pStyle w:val="ListParagraph"/>
              <w:numPr>
                <w:ilvl w:val="0"/>
                <w:numId w:val="4"/>
              </w:numPr>
              <w:spacing w:line="360" w:lineRule="auto"/>
              <w:jc w:val="both"/>
              <w:rPr>
                <w:rFonts w:ascii="Arial" w:hAnsi="Arial" w:cs="Arial"/>
                <w:sz w:val="24"/>
                <w:szCs w:val="24"/>
              </w:rPr>
            </w:pPr>
            <w:r w:rsidRPr="000F63D3">
              <w:rPr>
                <w:rFonts w:ascii="Arial" w:hAnsi="Arial" w:cs="Arial"/>
                <w:sz w:val="24"/>
                <w:szCs w:val="24"/>
              </w:rPr>
              <w:t>Designed to promote an organisation’s reputation;</w:t>
            </w:r>
          </w:p>
          <w:p w:rsidR="000F63D3" w:rsidRPr="000F63D3" w:rsidRDefault="000F63D3" w:rsidP="000F63D3">
            <w:pPr>
              <w:pStyle w:val="ListParagraph"/>
              <w:numPr>
                <w:ilvl w:val="0"/>
                <w:numId w:val="4"/>
              </w:numPr>
              <w:spacing w:line="360" w:lineRule="auto"/>
              <w:jc w:val="both"/>
              <w:rPr>
                <w:rFonts w:ascii="Arial" w:hAnsi="Arial" w:cs="Arial"/>
                <w:sz w:val="24"/>
                <w:szCs w:val="24"/>
              </w:rPr>
            </w:pPr>
            <w:r w:rsidRPr="000F63D3">
              <w:rPr>
                <w:rFonts w:ascii="Arial" w:hAnsi="Arial" w:cs="Arial"/>
                <w:sz w:val="24"/>
                <w:szCs w:val="24"/>
              </w:rPr>
              <w:t>Showcase organisation’s products and services to increase patronage and increase its profitability.</w:t>
            </w:r>
          </w:p>
          <w:p w:rsidR="000F63D3" w:rsidRPr="000F63D3" w:rsidRDefault="000F63D3" w:rsidP="000F63D3">
            <w:pPr>
              <w:pStyle w:val="ListParagraph"/>
              <w:numPr>
                <w:ilvl w:val="0"/>
                <w:numId w:val="4"/>
              </w:numPr>
              <w:spacing w:line="360" w:lineRule="auto"/>
              <w:jc w:val="both"/>
              <w:rPr>
                <w:rFonts w:ascii="Arial" w:hAnsi="Arial" w:cs="Arial"/>
                <w:sz w:val="24"/>
                <w:szCs w:val="24"/>
              </w:rPr>
            </w:pPr>
            <w:r w:rsidRPr="000F63D3">
              <w:rPr>
                <w:rFonts w:ascii="Arial" w:hAnsi="Arial" w:cs="Arial"/>
                <w:sz w:val="24"/>
                <w:szCs w:val="24"/>
              </w:rPr>
              <w:t>Occasions for competing firms to assess the performances of other competitors.</w:t>
            </w:r>
          </w:p>
          <w:p w:rsidR="000F63D3" w:rsidRPr="000F63D3" w:rsidRDefault="000F63D3" w:rsidP="000F63D3">
            <w:pPr>
              <w:spacing w:line="360" w:lineRule="auto"/>
              <w:jc w:val="both"/>
              <w:rPr>
                <w:rFonts w:ascii="Arial" w:hAnsi="Arial" w:cs="Arial"/>
                <w:b/>
                <w:color w:val="31849B" w:themeColor="accent5" w:themeShade="BF"/>
                <w:sz w:val="24"/>
                <w:szCs w:val="24"/>
              </w:rPr>
            </w:pPr>
            <w:r w:rsidRPr="000F63D3">
              <w:rPr>
                <w:rFonts w:ascii="Arial" w:hAnsi="Arial" w:cs="Arial"/>
                <w:b/>
                <w:color w:val="31849B" w:themeColor="accent5" w:themeShade="BF"/>
                <w:sz w:val="24"/>
                <w:szCs w:val="24"/>
              </w:rPr>
              <w:t>Disadvantages of Exhibitions:</w:t>
            </w:r>
          </w:p>
          <w:p w:rsidR="00CC2FB3" w:rsidRPr="001457F3" w:rsidRDefault="000F63D3" w:rsidP="001457F3">
            <w:pPr>
              <w:pStyle w:val="ListParagraph"/>
              <w:numPr>
                <w:ilvl w:val="0"/>
                <w:numId w:val="5"/>
              </w:numPr>
              <w:spacing w:line="360" w:lineRule="auto"/>
              <w:jc w:val="both"/>
              <w:rPr>
                <w:rFonts w:ascii="Arial" w:hAnsi="Arial" w:cs="Arial"/>
                <w:sz w:val="24"/>
                <w:szCs w:val="24"/>
              </w:rPr>
            </w:pPr>
            <w:r w:rsidRPr="000F63D3">
              <w:rPr>
                <w:rFonts w:ascii="Arial" w:hAnsi="Arial" w:cs="Arial"/>
                <w:sz w:val="24"/>
                <w:szCs w:val="24"/>
              </w:rPr>
              <w:t>It is an expensive media to engage due to the high costs involved in procuring facilities and the associated logistical and hospitality aspects.</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457F3" w:rsidP="001457F3">
            <w:pPr>
              <w:ind w:left="720" w:hanging="720"/>
              <w:rPr>
                <w:rFonts w:cs="Bliss-Regular"/>
                <w:color w:val="000000"/>
              </w:rPr>
            </w:pPr>
            <w:r w:rsidRPr="001457F3">
              <w:rPr>
                <w:rFonts w:cs="Bliss-Regular"/>
                <w:noProof/>
                <w:color w:val="000000"/>
              </w:rPr>
              <w:drawing>
                <wp:inline distT="0" distB="0" distL="0" distR="0">
                  <wp:extent cx="765544" cy="361507"/>
                  <wp:effectExtent l="19050" t="0" r="0" b="0"/>
                  <wp:docPr id="3" name="Picture 2" descr="E:\DCIM\101MSDCF\DSC042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DCIM\101MSDCF\DSC04231.JPG"/>
                          <pic:cNvPicPr>
                            <a:picLocks noChangeAspect="1" noChangeArrowheads="1"/>
                          </pic:cNvPicPr>
                        </pic:nvPicPr>
                        <pic:blipFill>
                          <a:blip r:embed="rId9" cstate="print"/>
                          <a:srcRect/>
                          <a:stretch>
                            <a:fillRect/>
                          </a:stretch>
                        </pic:blipFill>
                        <pic:spPr bwMode="auto">
                          <a:xfrm>
                            <a:off x="0" y="0"/>
                            <a:ext cx="765688" cy="361575"/>
                          </a:xfrm>
                          <a:prstGeom prst="rect">
                            <a:avLst/>
                          </a:prstGeom>
                          <a:noFill/>
                          <a:ln w="9525">
                            <a:noFill/>
                            <a:miter lim="800000"/>
                            <a:headEnd/>
                            <a:tailEnd/>
                          </a:ln>
                        </pic:spPr>
                      </pic:pic>
                    </a:graphicData>
                  </a:graphic>
                </wp:inline>
              </w:drawing>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F63D3" w:rsidP="00A851DA">
            <w:pPr>
              <w:rPr>
                <w:rFonts w:cs="Bliss-Regular"/>
                <w:color w:val="000000"/>
              </w:rPr>
            </w:pPr>
            <w:r>
              <w:rPr>
                <w:rFonts w:cs="Bliss-Regular"/>
                <w:color w:val="000000"/>
              </w:rPr>
              <w:t>19/08/2017</w:t>
            </w:r>
          </w:p>
        </w:tc>
      </w:tr>
    </w:tbl>
    <w:p w:rsidR="00A851DA" w:rsidRPr="00B0415E" w:rsidRDefault="00A851DA" w:rsidP="00A851DA">
      <w:pPr>
        <w:rPr>
          <w:rFonts w:cs="Bliss-Regular"/>
          <w:color w:val="000000"/>
          <w:lang w:val="en-US"/>
        </w:rPr>
      </w:pPr>
    </w:p>
    <w:p w:rsidR="00A851DA" w:rsidRDefault="00A851DA" w:rsidP="00A851DA">
      <w:pPr>
        <w:rPr>
          <w:rFonts w:cs="Bliss-Regular"/>
          <w:color w:val="000000"/>
          <w:lang w:val="en-US"/>
        </w:rPr>
      </w:pPr>
    </w:p>
    <w:p w:rsidR="001457F3" w:rsidRPr="00B0415E" w:rsidRDefault="001457F3"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94E0C" w:rsidRDefault="00A94E0C" w:rsidP="00CB4D0A">
      <w:pPr>
        <w:spacing w:after="0" w:line="240" w:lineRule="auto"/>
      </w:pPr>
      <w:r>
        <w:separator/>
      </w:r>
    </w:p>
  </w:endnote>
  <w:endnote w:type="continuationSeparator" w:id="1">
    <w:p w:rsidR="00A94E0C" w:rsidRDefault="00A94E0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94E0C" w:rsidRDefault="00A94E0C" w:rsidP="00CB4D0A">
      <w:pPr>
        <w:spacing w:after="0" w:line="240" w:lineRule="auto"/>
      </w:pPr>
      <w:r>
        <w:separator/>
      </w:r>
    </w:p>
  </w:footnote>
  <w:footnote w:type="continuationSeparator" w:id="1">
    <w:p w:rsidR="00A94E0C" w:rsidRDefault="00A94E0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807962"/>
    <w:multiLevelType w:val="hybridMultilevel"/>
    <w:tmpl w:val="2856C65A"/>
    <w:lvl w:ilvl="0" w:tplc="EE5E4E7C">
      <w:start w:val="1"/>
      <w:numFmt w:val="decimal"/>
      <w:lvlText w:val="%1."/>
      <w:lvlJc w:val="left"/>
      <w:pPr>
        <w:ind w:left="360" w:hanging="360"/>
      </w:pPr>
      <w:rPr>
        <w:rFonts w:hint="default"/>
        <w:b/>
        <w:color w:val="7030A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B597DE0"/>
    <w:multiLevelType w:val="hybridMultilevel"/>
    <w:tmpl w:val="D3C6E7AA"/>
    <w:lvl w:ilvl="0" w:tplc="CB2CF0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E1015F"/>
    <w:multiLevelType w:val="hybridMultilevel"/>
    <w:tmpl w:val="6F1E54F0"/>
    <w:lvl w:ilvl="0" w:tplc="0409000D">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6CA6623"/>
    <w:multiLevelType w:val="hybridMultilevel"/>
    <w:tmpl w:val="245C65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F63D3"/>
    <w:rsid w:val="001175EE"/>
    <w:rsid w:val="001457F3"/>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11624"/>
    <w:rsid w:val="00527C11"/>
    <w:rsid w:val="00535F31"/>
    <w:rsid w:val="00574D64"/>
    <w:rsid w:val="00591365"/>
    <w:rsid w:val="005B31E4"/>
    <w:rsid w:val="00601D7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24508"/>
    <w:rsid w:val="00A65CF7"/>
    <w:rsid w:val="00A81AB4"/>
    <w:rsid w:val="00A851DA"/>
    <w:rsid w:val="00A94E0C"/>
    <w:rsid w:val="00AC7D5B"/>
    <w:rsid w:val="00AE1481"/>
    <w:rsid w:val="00AF1467"/>
    <w:rsid w:val="00B0415E"/>
    <w:rsid w:val="00B04678"/>
    <w:rsid w:val="00BC234C"/>
    <w:rsid w:val="00BC27D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8536A"/>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ECS</cp:lastModifiedBy>
  <cp:revision>5</cp:revision>
  <dcterms:created xsi:type="dcterms:W3CDTF">2015-01-26T12:24:00Z</dcterms:created>
  <dcterms:modified xsi:type="dcterms:W3CDTF">2017-08-20T00:11:00Z</dcterms:modified>
</cp:coreProperties>
</file>