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A1F" w:rsidRPr="00AB3A1F" w:rsidRDefault="00AB3A1F" w:rsidP="00AB3A1F">
      <w:r w:rsidRPr="00AB3A1F">
        <w:rPr>
          <w:noProof/>
        </w:rPr>
        <w:drawing>
          <wp:anchor distT="0" distB="0" distL="114300" distR="114300" simplePos="0" relativeHeight="251659264" behindDoc="0" locked="0" layoutInCell="1" allowOverlap="1" wp14:anchorId="507C6F14" wp14:editId="50BE40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B3A1F">
        <w:t xml:space="preserve">                                                                  </w:t>
      </w:r>
    </w:p>
    <w:p w:rsidR="00AB3A1F" w:rsidRPr="00AB3A1F" w:rsidRDefault="00A27DBC" w:rsidP="00AB3A1F">
      <w:r w:rsidRPr="00AB3A1F">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v:textbox>
              </v:shape>
            </w:pict>
          </mc:Fallback>
        </mc:AlternateContent>
      </w:r>
    </w:p>
    <w:p w:rsidR="00AB3A1F" w:rsidRPr="00AB3A1F" w:rsidRDefault="00AB3A1F" w:rsidP="00AB3A1F"/>
    <w:p w:rsidR="00AB3A1F" w:rsidRPr="00AB3A1F" w:rsidRDefault="00AB3A1F" w:rsidP="00AB3A1F"/>
    <w:p w:rsidR="00AB3A1F" w:rsidRPr="00AB3A1F" w:rsidRDefault="00AB3A1F" w:rsidP="00AB3A1F"/>
    <w:tbl>
      <w:tblPr>
        <w:tblStyle w:val="TableGrid"/>
        <w:tblW w:w="0" w:type="auto"/>
        <w:tblLook w:val="04A0" w:firstRow="1" w:lastRow="0" w:firstColumn="1" w:lastColumn="0" w:noHBand="0" w:noVBand="1"/>
      </w:tblPr>
      <w:tblGrid>
        <w:gridCol w:w="2566"/>
        <w:gridCol w:w="6676"/>
      </w:tblGrid>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386FB9" w:rsidP="00AB3A1F">
            <w:pPr>
              <w:spacing w:after="200" w:line="276" w:lineRule="auto"/>
            </w:pPr>
            <w:r>
              <w:t>Moha</w:t>
            </w:r>
            <w:r w:rsidR="00AB3A1F">
              <w:t xml:space="preserve">med </w:t>
            </w:r>
            <w:proofErr w:type="spellStart"/>
            <w:r w:rsidR="00AB3A1F">
              <w:t>Saif</w:t>
            </w:r>
            <w:proofErr w:type="spellEnd"/>
            <w:r w:rsidR="00AB3A1F">
              <w:t xml:space="preserve"> Alshehhi</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B3A1F" w:rsidRPr="00AB3A1F" w:rsidRDefault="00386FB9" w:rsidP="00AB3A1F">
            <w:pPr>
              <w:spacing w:after="200" w:line="276" w:lineRule="auto"/>
            </w:pPr>
            <w:r>
              <w:t>3020</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AB3A1F" w:rsidP="00AB3A1F">
            <w:pPr>
              <w:spacing w:after="200" w:line="276" w:lineRule="auto"/>
            </w:pPr>
            <w:r w:rsidRPr="00AB3A1F">
              <w:t xml:space="preserve">Diploma in Logistics &amp; Supply Chain </w:t>
            </w:r>
            <w:proofErr w:type="spellStart"/>
            <w:r w:rsidRPr="00AB3A1F">
              <w:t>Managment</w:t>
            </w:r>
            <w:proofErr w:type="spellEnd"/>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B52B3E" w:rsidP="00AB3A1F">
            <w:pPr>
              <w:spacing w:after="200" w:line="276" w:lineRule="auto"/>
            </w:pPr>
            <w:r>
              <w:t>13</w:t>
            </w:r>
          </w:p>
        </w:tc>
      </w:tr>
    </w:tbl>
    <w:p w:rsidR="00AB3A1F" w:rsidRPr="00AB3A1F" w:rsidRDefault="00AB3A1F" w:rsidP="00AB3A1F">
      <w:pPr>
        <w:rPr>
          <w:b/>
        </w:rPr>
      </w:pPr>
    </w:p>
    <w:p w:rsidR="00AB3A1F" w:rsidRPr="00AB3A1F" w:rsidRDefault="00AB3A1F" w:rsidP="00AB3A1F">
      <w:pPr>
        <w:rPr>
          <w:b/>
        </w:rPr>
      </w:pPr>
      <w:r w:rsidRPr="00AB3A1F">
        <w:rPr>
          <w:b/>
        </w:rPr>
        <w:t>Marking Criteria:</w:t>
      </w:r>
    </w:p>
    <w:p w:rsidR="00AB3A1F" w:rsidRPr="00AB3A1F" w:rsidRDefault="00AB3A1F" w:rsidP="00AB3A1F">
      <w:r w:rsidRPr="00AB3A1F">
        <w:rPr>
          <w:b/>
        </w:rPr>
        <w:t xml:space="preserve"> </w:t>
      </w:r>
      <w:r w:rsidRPr="00AB3A1F">
        <w:t>We expect the learners to write minimum one well expressed point in three lines against each allocated mark. This means one needs to write 15 lines with 5 well expressed points to get high grades for a 5 marks question.</w:t>
      </w:r>
    </w:p>
    <w:p w:rsidR="00AB3A1F" w:rsidRPr="00AB3A1F" w:rsidRDefault="00AB3A1F" w:rsidP="00AB3A1F">
      <w:r w:rsidRPr="00AB3A1F">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AB3A1F" w:rsidRPr="00AB3A1F" w:rsidTr="00A833C4">
        <w:tc>
          <w:tcPr>
            <w:tcW w:w="9242" w:type="dxa"/>
          </w:tcPr>
          <w:p w:rsidR="00BC6EF6" w:rsidRPr="00BC6EF6" w:rsidRDefault="00BC6EF6" w:rsidP="00BC6EF6">
            <w:pPr>
              <w:pStyle w:val="ListParagraph"/>
              <w:numPr>
                <w:ilvl w:val="0"/>
                <w:numId w:val="29"/>
              </w:numPr>
              <w:rPr>
                <w:b/>
              </w:rPr>
            </w:pPr>
            <w:r w:rsidRPr="00BC6EF6">
              <w:rPr>
                <w:b/>
              </w:rPr>
              <w:t>Give short answers for the following questions:</w:t>
            </w:r>
          </w:p>
          <w:p w:rsidR="00100A1E" w:rsidRDefault="00100A1E" w:rsidP="00100A1E">
            <w:pPr>
              <w:pStyle w:val="ListParagraph"/>
              <w:rPr>
                <w:b/>
              </w:rPr>
            </w:pPr>
          </w:p>
          <w:p w:rsidR="00100A1E" w:rsidRPr="00100A1E" w:rsidRDefault="00100A1E" w:rsidP="00100A1E">
            <w:pPr>
              <w:pStyle w:val="ListParagraph"/>
              <w:rPr>
                <w:b/>
              </w:rPr>
            </w:pPr>
            <w:proofErr w:type="spellStart"/>
            <w:r w:rsidRPr="00100A1E">
              <w:rPr>
                <w:b/>
              </w:rPr>
              <w:t>i</w:t>
            </w:r>
            <w:proofErr w:type="spellEnd"/>
            <w:r w:rsidRPr="00100A1E">
              <w:rPr>
                <w:b/>
              </w:rPr>
              <w:t>. What is the framework for supply chain performance measurement?</w:t>
            </w:r>
          </w:p>
          <w:p w:rsidR="00100A1E" w:rsidRPr="00100A1E" w:rsidRDefault="00100A1E" w:rsidP="00100A1E">
            <w:pPr>
              <w:ind w:left="720"/>
              <w:rPr>
                <w:b/>
                <w:bCs/>
                <w:color w:val="0070C0"/>
              </w:rPr>
            </w:pPr>
            <w:r w:rsidRPr="00100A1E">
              <w:rPr>
                <w:color w:val="0070C0"/>
              </w:rPr>
              <w:t xml:space="preserve">Supply chain companies serve four main markets: the growth, steady, mature and developing markets; with each of the four represented by occupying four different quadrants. The different types of supply chain companies that exist to serve the needs of different types of markets have to adopt different performance measurement methods when evaluating each of the markets. The key to the success of supply chain companies is to collaborate with each other and to take advantage of the opportunities across the markets. This is achieved by </w:t>
            </w:r>
            <w:proofErr w:type="spellStart"/>
            <w:r w:rsidRPr="00100A1E">
              <w:rPr>
                <w:color w:val="0070C0"/>
              </w:rPr>
              <w:t>categorising</w:t>
            </w:r>
            <w:proofErr w:type="spellEnd"/>
            <w:r w:rsidRPr="00100A1E">
              <w:rPr>
                <w:color w:val="0070C0"/>
              </w:rPr>
              <w:t xml:space="preserve"> market evaluation into 4 different categories in the form of a simple model. Although the model may not be an exact representation of reality on the ground, yet it is a useful tool to guide you in the right direction to evaluating markets and also to measure the performance of services rendered by the supply chain companies.</w:t>
            </w:r>
          </w:p>
          <w:p w:rsidR="00100A1E" w:rsidRDefault="00100A1E" w:rsidP="00100A1E">
            <w:pPr>
              <w:pStyle w:val="ListParagraph"/>
              <w:rPr>
                <w:b/>
              </w:rPr>
            </w:pPr>
          </w:p>
          <w:p w:rsidR="00100A1E" w:rsidRPr="00100A1E" w:rsidRDefault="00100A1E" w:rsidP="00100A1E">
            <w:pPr>
              <w:pStyle w:val="ListParagraph"/>
              <w:rPr>
                <w:b/>
              </w:rPr>
            </w:pPr>
            <w:r w:rsidRPr="00100A1E">
              <w:rPr>
                <w:b/>
              </w:rPr>
              <w:t>ii. What is meant by internal efficiency of a supply chain?</w:t>
            </w:r>
          </w:p>
          <w:p w:rsidR="00100A1E" w:rsidRPr="00100A1E" w:rsidRDefault="00100A1E" w:rsidP="00100A1E">
            <w:pPr>
              <w:ind w:left="720"/>
              <w:rPr>
                <w:color w:val="0070C0"/>
              </w:rPr>
            </w:pPr>
            <w:r w:rsidRPr="00100A1E">
              <w:rPr>
                <w:color w:val="0070C0"/>
              </w:rPr>
              <w:t xml:space="preserve">All companies have one main desire and it is mainly to make a healthy profit. Internal efficiency measures the ability of companies to streamline operations for them to be profitable. The level of profit is normally determined by the nature of the market. Well-developed markets provide lower margins of profits due to lower levels of risks and uncertainty. Developing markets on the other hand usually come with higher risks and </w:t>
            </w:r>
            <w:r w:rsidRPr="00100A1E">
              <w:rPr>
                <w:color w:val="0070C0"/>
              </w:rPr>
              <w:lastRenderedPageBreak/>
              <w:t>uncertainty and so larger profit margins are to be expected to make up for the time and resources required to run supply chain operations in this kind of market.</w:t>
            </w:r>
          </w:p>
          <w:p w:rsidR="00100A1E" w:rsidRDefault="00100A1E" w:rsidP="00100A1E">
            <w:pPr>
              <w:pStyle w:val="ListParagraph"/>
              <w:rPr>
                <w:b/>
              </w:rPr>
            </w:pPr>
          </w:p>
          <w:p w:rsidR="00100A1E" w:rsidRPr="00100A1E" w:rsidRDefault="00100A1E" w:rsidP="00100A1E">
            <w:pPr>
              <w:pStyle w:val="ListParagraph"/>
              <w:rPr>
                <w:b/>
              </w:rPr>
            </w:pPr>
            <w:r w:rsidRPr="00100A1E">
              <w:rPr>
                <w:b/>
              </w:rPr>
              <w:t>iii. What are the customer service metrics? And what do they measure?</w:t>
            </w:r>
          </w:p>
          <w:p w:rsidR="00100A1E" w:rsidRPr="00100A1E" w:rsidRDefault="00100A1E" w:rsidP="00100A1E">
            <w:pPr>
              <w:ind w:left="720"/>
              <w:rPr>
                <w:color w:val="0070C0"/>
              </w:rPr>
            </w:pPr>
            <w:r w:rsidRPr="00100A1E">
              <w:rPr>
                <w:color w:val="0070C0"/>
              </w:rPr>
              <w:t xml:space="preserve">Customer service metrics are measurements which highlight how customers have been effectively served by companies and how supply chains are able to meet the needs of markets. Two main customer service metrics are used: the build to stock (BTS) and the build to order (BTO) metrics. Supply chain or companies may fall under any of these two classifications. Examples of build to stock metrics include: </w:t>
            </w:r>
          </w:p>
          <w:p w:rsidR="00100A1E" w:rsidRPr="00100A1E" w:rsidRDefault="00100A1E" w:rsidP="00100A1E">
            <w:pPr>
              <w:pStyle w:val="ListParagraph"/>
              <w:numPr>
                <w:ilvl w:val="1"/>
                <w:numId w:val="35"/>
              </w:numPr>
              <w:rPr>
                <w:color w:val="0070C0"/>
              </w:rPr>
            </w:pPr>
            <w:r w:rsidRPr="00100A1E">
              <w:rPr>
                <w:color w:val="0070C0"/>
              </w:rPr>
              <w:t xml:space="preserve">Complete Order Fill Rate and Order Line Item Fill Rate </w:t>
            </w:r>
          </w:p>
          <w:p w:rsidR="00100A1E" w:rsidRPr="00100A1E" w:rsidRDefault="00100A1E" w:rsidP="00100A1E">
            <w:pPr>
              <w:pStyle w:val="ListParagraph"/>
              <w:numPr>
                <w:ilvl w:val="1"/>
                <w:numId w:val="35"/>
              </w:numPr>
              <w:rPr>
                <w:color w:val="0070C0"/>
              </w:rPr>
            </w:pPr>
            <w:r w:rsidRPr="00100A1E">
              <w:rPr>
                <w:color w:val="0070C0"/>
              </w:rPr>
              <w:t xml:space="preserve">On-Time Delivery Rate </w:t>
            </w:r>
          </w:p>
          <w:p w:rsidR="00100A1E" w:rsidRPr="00100A1E" w:rsidRDefault="00100A1E" w:rsidP="00100A1E">
            <w:pPr>
              <w:pStyle w:val="ListParagraph"/>
              <w:numPr>
                <w:ilvl w:val="1"/>
                <w:numId w:val="35"/>
              </w:numPr>
              <w:rPr>
                <w:color w:val="0070C0"/>
              </w:rPr>
            </w:pPr>
            <w:r w:rsidRPr="00100A1E">
              <w:rPr>
                <w:color w:val="0070C0"/>
              </w:rPr>
              <w:t xml:space="preserve">Value of Total Backorders and Number of Backorders </w:t>
            </w:r>
          </w:p>
          <w:p w:rsidR="00100A1E" w:rsidRPr="00100A1E" w:rsidRDefault="00100A1E" w:rsidP="00100A1E">
            <w:pPr>
              <w:pStyle w:val="ListParagraph"/>
              <w:numPr>
                <w:ilvl w:val="1"/>
                <w:numId w:val="35"/>
              </w:numPr>
              <w:rPr>
                <w:color w:val="0070C0"/>
              </w:rPr>
            </w:pPr>
            <w:r w:rsidRPr="00100A1E">
              <w:rPr>
                <w:color w:val="0070C0"/>
              </w:rPr>
              <w:t xml:space="preserve">Frequency and Duration of Backorders </w:t>
            </w:r>
          </w:p>
          <w:p w:rsidR="00100A1E" w:rsidRPr="00100A1E" w:rsidRDefault="00100A1E" w:rsidP="00100A1E">
            <w:pPr>
              <w:pStyle w:val="ListParagraph"/>
              <w:numPr>
                <w:ilvl w:val="1"/>
                <w:numId w:val="35"/>
              </w:numPr>
              <w:rPr>
                <w:color w:val="0070C0"/>
              </w:rPr>
            </w:pPr>
            <w:r w:rsidRPr="00100A1E">
              <w:rPr>
                <w:color w:val="0070C0"/>
              </w:rPr>
              <w:t>Line Item Return Rate</w:t>
            </w:r>
          </w:p>
          <w:p w:rsidR="00100A1E" w:rsidRPr="00100A1E" w:rsidRDefault="00100A1E" w:rsidP="00100A1E">
            <w:pPr>
              <w:pStyle w:val="ListParagraph"/>
              <w:numPr>
                <w:ilvl w:val="1"/>
                <w:numId w:val="35"/>
              </w:numPr>
              <w:rPr>
                <w:color w:val="0070C0"/>
              </w:rPr>
            </w:pPr>
            <w:r w:rsidRPr="00100A1E">
              <w:rPr>
                <w:color w:val="0070C0"/>
              </w:rPr>
              <w:t>Popular metrics for a build to order situation are:</w:t>
            </w:r>
          </w:p>
          <w:p w:rsidR="00100A1E" w:rsidRPr="00100A1E" w:rsidRDefault="00100A1E" w:rsidP="00100A1E">
            <w:pPr>
              <w:pStyle w:val="ListParagraph"/>
              <w:numPr>
                <w:ilvl w:val="1"/>
                <w:numId w:val="35"/>
              </w:numPr>
              <w:rPr>
                <w:color w:val="0070C0"/>
              </w:rPr>
            </w:pPr>
            <w:r w:rsidRPr="00100A1E">
              <w:rPr>
                <w:color w:val="0070C0"/>
              </w:rPr>
              <w:t>Quoted Customer Response Time and On-Time</w:t>
            </w:r>
          </w:p>
          <w:p w:rsidR="00100A1E" w:rsidRPr="00100A1E" w:rsidRDefault="00100A1E" w:rsidP="00100A1E">
            <w:pPr>
              <w:pStyle w:val="ListParagraph"/>
              <w:numPr>
                <w:ilvl w:val="1"/>
                <w:numId w:val="35"/>
              </w:numPr>
              <w:rPr>
                <w:color w:val="0070C0"/>
              </w:rPr>
            </w:pPr>
            <w:r w:rsidRPr="00100A1E">
              <w:rPr>
                <w:color w:val="0070C0"/>
              </w:rPr>
              <w:t xml:space="preserve">Completion Rate </w:t>
            </w:r>
          </w:p>
          <w:p w:rsidR="00100A1E" w:rsidRPr="00100A1E" w:rsidRDefault="00100A1E" w:rsidP="00100A1E">
            <w:pPr>
              <w:pStyle w:val="ListParagraph"/>
              <w:numPr>
                <w:ilvl w:val="1"/>
                <w:numId w:val="35"/>
              </w:numPr>
              <w:rPr>
                <w:color w:val="0070C0"/>
              </w:rPr>
            </w:pPr>
            <w:r w:rsidRPr="00100A1E">
              <w:rPr>
                <w:color w:val="0070C0"/>
              </w:rPr>
              <w:t xml:space="preserve">On-Time Delivery Rat </w:t>
            </w:r>
          </w:p>
          <w:p w:rsidR="00100A1E" w:rsidRPr="00100A1E" w:rsidRDefault="00100A1E" w:rsidP="00100A1E">
            <w:pPr>
              <w:pStyle w:val="ListParagraph"/>
              <w:numPr>
                <w:ilvl w:val="1"/>
                <w:numId w:val="35"/>
              </w:numPr>
              <w:rPr>
                <w:color w:val="0070C0"/>
              </w:rPr>
            </w:pPr>
            <w:r w:rsidRPr="00100A1E">
              <w:rPr>
                <w:color w:val="0070C0"/>
              </w:rPr>
              <w:t xml:space="preserve">Value of Late Orders and Number of Late Orders </w:t>
            </w:r>
          </w:p>
          <w:p w:rsidR="00100A1E" w:rsidRPr="00100A1E" w:rsidRDefault="00100A1E" w:rsidP="00100A1E">
            <w:pPr>
              <w:pStyle w:val="ListParagraph"/>
              <w:numPr>
                <w:ilvl w:val="1"/>
                <w:numId w:val="35"/>
              </w:numPr>
              <w:rPr>
                <w:color w:val="0070C0"/>
              </w:rPr>
            </w:pPr>
            <w:r w:rsidRPr="00100A1E">
              <w:rPr>
                <w:color w:val="0070C0"/>
              </w:rPr>
              <w:t xml:space="preserve">Frequency and Duration of Late Orders </w:t>
            </w:r>
          </w:p>
          <w:p w:rsidR="00100A1E" w:rsidRPr="00100A1E" w:rsidRDefault="00100A1E" w:rsidP="00100A1E">
            <w:pPr>
              <w:pStyle w:val="ListParagraph"/>
              <w:numPr>
                <w:ilvl w:val="1"/>
                <w:numId w:val="35"/>
              </w:numPr>
              <w:rPr>
                <w:color w:val="0070C0"/>
              </w:rPr>
            </w:pPr>
            <w:r w:rsidRPr="00100A1E">
              <w:rPr>
                <w:color w:val="0070C0"/>
              </w:rPr>
              <w:t>Number of Warranty Returns and Repairs</w:t>
            </w:r>
          </w:p>
          <w:p w:rsidR="00100A1E" w:rsidRDefault="00100A1E" w:rsidP="00100A1E">
            <w:pPr>
              <w:pStyle w:val="ListParagraph"/>
              <w:rPr>
                <w:b/>
              </w:rPr>
            </w:pPr>
          </w:p>
          <w:p w:rsidR="00100A1E" w:rsidRPr="00100A1E" w:rsidRDefault="00100A1E" w:rsidP="00100A1E">
            <w:pPr>
              <w:pStyle w:val="ListParagraph"/>
              <w:rPr>
                <w:b/>
              </w:rPr>
            </w:pPr>
            <w:r w:rsidRPr="00100A1E">
              <w:rPr>
                <w:b/>
              </w:rPr>
              <w:t>iv. What is the difference between build to order and build to stock products?</w:t>
            </w:r>
          </w:p>
          <w:p w:rsidR="00100A1E" w:rsidRPr="00100A1E" w:rsidRDefault="00100A1E" w:rsidP="00100A1E">
            <w:pPr>
              <w:ind w:left="720"/>
              <w:rPr>
                <w:b/>
                <w:bCs/>
                <w:color w:val="0070C0"/>
              </w:rPr>
            </w:pPr>
            <w:r w:rsidRPr="00100A1E">
              <w:rPr>
                <w:b/>
                <w:bCs/>
                <w:color w:val="0070C0"/>
              </w:rPr>
              <w:t xml:space="preserve">Build to Stock (BTS) </w:t>
            </w:r>
          </w:p>
          <w:p w:rsidR="00100A1E" w:rsidRPr="00100A1E" w:rsidRDefault="00100A1E" w:rsidP="00100A1E">
            <w:pPr>
              <w:ind w:left="720"/>
              <w:rPr>
                <w:color w:val="0070C0"/>
              </w:rPr>
            </w:pPr>
            <w:r w:rsidRPr="00100A1E">
              <w:rPr>
                <w:color w:val="0070C0"/>
              </w:rPr>
              <w:t>This include common items supplied to large markets which customers expect to obtain instantly when they make request for them. This implies suppliers need to keep a large inventory available to meet the high demands. Items in this category include building materials, cleaning supplies etc. But sometimes the supply chain may be overwhelmed by the wide range of items that customers order and may not have sufficient storage space to keep thousands of these items. In such cases, companies tend to have contingency plans of having a backup provided from a secondary location and also making provision for the items to be delivered at specific times whenever customers make request for items. Alternatively, items may be substituted with a close match or a much higher quality item when stocks of a particular item become depleted. The order fill rate performance metrics measures the percentage of total orders that are supplied immediately whereas the line fill rate metrics measures performance in terms of the percentage of total line items on all orders which are filled immediately</w:t>
            </w:r>
          </w:p>
          <w:p w:rsidR="00100A1E" w:rsidRPr="00100A1E" w:rsidRDefault="00100A1E" w:rsidP="00100A1E">
            <w:pPr>
              <w:ind w:left="720"/>
              <w:rPr>
                <w:color w:val="0070C0"/>
              </w:rPr>
            </w:pPr>
          </w:p>
          <w:p w:rsidR="00100A1E" w:rsidRPr="00100A1E" w:rsidRDefault="00100A1E" w:rsidP="00100A1E">
            <w:pPr>
              <w:ind w:left="720"/>
              <w:rPr>
                <w:b/>
                <w:bCs/>
                <w:color w:val="0070C0"/>
              </w:rPr>
            </w:pPr>
            <w:r w:rsidRPr="00100A1E">
              <w:rPr>
                <w:b/>
                <w:bCs/>
                <w:color w:val="0070C0"/>
              </w:rPr>
              <w:t xml:space="preserve">Build to Order (BTO) </w:t>
            </w:r>
          </w:p>
          <w:p w:rsidR="00100A1E" w:rsidRPr="00100A1E" w:rsidRDefault="00100A1E" w:rsidP="00100A1E">
            <w:pPr>
              <w:ind w:left="720"/>
              <w:rPr>
                <w:color w:val="0070C0"/>
              </w:rPr>
            </w:pPr>
            <w:r w:rsidRPr="00100A1E">
              <w:rPr>
                <w:color w:val="0070C0"/>
              </w:rPr>
              <w:t>Some customers may provide product specification for supply chain companies to work with within specific time frame. This situation is referred to as build to order (BTO) request. For example, a computer company may be asked by a customer to build computers with certain specifications. Performance is measured based on analysis of the quoted customer response time (how long the company is expected to take to deliver the product) and the on-time completion rate. Longer customer response time will assist the company to achieve higher on-time completion rates but this will, of course, be dependent on how soon the customer needs the product.</w:t>
            </w:r>
          </w:p>
          <w:p w:rsidR="00100A1E" w:rsidRDefault="00100A1E" w:rsidP="00100A1E">
            <w:pPr>
              <w:pStyle w:val="ListParagraph"/>
              <w:rPr>
                <w:b/>
              </w:rPr>
            </w:pPr>
          </w:p>
          <w:p w:rsidR="00BC6EF6" w:rsidRPr="00BC6EF6" w:rsidRDefault="00100A1E" w:rsidP="00100A1E">
            <w:pPr>
              <w:pStyle w:val="ListParagraph"/>
              <w:rPr>
                <w:b/>
              </w:rPr>
            </w:pPr>
            <w:r w:rsidRPr="00100A1E">
              <w:rPr>
                <w:b/>
              </w:rPr>
              <w:lastRenderedPageBreak/>
              <w:t>v. Explain the term ‘Data warehouse</w:t>
            </w:r>
          </w:p>
          <w:p w:rsidR="00100A1E" w:rsidRPr="00100A1E" w:rsidRDefault="00100A1E" w:rsidP="00100A1E">
            <w:pPr>
              <w:ind w:left="720"/>
              <w:rPr>
                <w:b/>
                <w:bCs/>
                <w:color w:val="0070C0"/>
              </w:rPr>
            </w:pPr>
            <w:r w:rsidRPr="00100A1E">
              <w:rPr>
                <w:b/>
                <w:color w:val="0070C0"/>
              </w:rPr>
              <w:tab/>
            </w:r>
            <w:r w:rsidRPr="00100A1E">
              <w:rPr>
                <w:color w:val="0070C0"/>
              </w:rPr>
              <w:t xml:space="preserve">Data warehouse is a business intelligence system where important operational information sourced from primary sources is kept to be accessed by authorized personnel when the need arises. Data warehouse needs to have automatic data capturing features to enable it to retrieve data on daily operations across different departments of a company. Manual data entry is not permitted for capturing data for data warehouse systems. Using database software with automated connections to nodes of other computers in a network is the best means of sourcing data to be stored on the data warehouse platform. In addition to using the best available databases to source data from primary sources, software for producing predefined reports and displaying data in graphical format helps people to effectively monitor operations. Another feature for the software to have is the ability to enable </w:t>
            </w:r>
            <w:proofErr w:type="spellStart"/>
            <w:r w:rsidRPr="00100A1E">
              <w:rPr>
                <w:color w:val="0070C0"/>
              </w:rPr>
              <w:t>authorised</w:t>
            </w:r>
            <w:proofErr w:type="spellEnd"/>
            <w:r w:rsidRPr="00100A1E">
              <w:rPr>
                <w:color w:val="0070C0"/>
              </w:rPr>
              <w:t xml:space="preserve"> personnel to make ad-hoc request for data and for them to perform further investigation into issues when needed. The best approach for designing and building data warehouse is to start on a small scale with simple user interfaces for the users. As the users become more adept and experienced, more advanced features could be added and the level of sophistication deepened to create more complicated systems, bearing in mind that people are the most important part of the data warehouse system and their ability to use the system will determine the efficiency of the tasks they are required to perform. Data warehouse can be used not just to improve the efficiency of supply chain management but also to enhance collaboration between companies in supply chains. Information can be shared between companies in a supply chain by making data available to all participating companies, where information can be obtained in standard report format at any time over the internet with similar user interface features which facilitate ease-of- use</w:t>
            </w:r>
          </w:p>
          <w:p w:rsidR="00F91FC4" w:rsidRDefault="00F91FC4" w:rsidP="00100A1E">
            <w:pPr>
              <w:tabs>
                <w:tab w:val="left" w:pos="926"/>
              </w:tabs>
              <w:rPr>
                <w:b/>
              </w:rPr>
            </w:pPr>
          </w:p>
          <w:p w:rsidR="00100A1E" w:rsidRPr="00100A1E" w:rsidRDefault="00100A1E" w:rsidP="00100A1E">
            <w:pPr>
              <w:pStyle w:val="ListParagraph"/>
              <w:numPr>
                <w:ilvl w:val="0"/>
                <w:numId w:val="29"/>
              </w:numPr>
              <w:tabs>
                <w:tab w:val="left" w:pos="926"/>
              </w:tabs>
              <w:rPr>
                <w:b/>
              </w:rPr>
            </w:pPr>
            <w:r w:rsidRPr="00100A1E">
              <w:rPr>
                <w:b/>
              </w:rPr>
              <w:t>Discuss in details the operations that suggest supply chain performance.</w:t>
            </w:r>
          </w:p>
          <w:p w:rsidR="00100A1E" w:rsidRPr="00100A1E" w:rsidRDefault="00100A1E" w:rsidP="00100A1E">
            <w:pPr>
              <w:pStyle w:val="ListParagraph"/>
              <w:tabs>
                <w:tab w:val="left" w:pos="926"/>
              </w:tabs>
              <w:rPr>
                <w:b/>
              </w:rPr>
            </w:pPr>
          </w:p>
          <w:p w:rsidR="00100A1E" w:rsidRPr="00100A1E" w:rsidRDefault="00100A1E" w:rsidP="00100A1E">
            <w:pPr>
              <w:pStyle w:val="NormalWeb"/>
              <w:spacing w:before="0" w:beforeAutospacing="0" w:after="0" w:afterAutospacing="0"/>
              <w:ind w:left="360"/>
              <w:jc w:val="both"/>
              <w:textAlignment w:val="baseline"/>
              <w:rPr>
                <w:rFonts w:ascii="PT Sans" w:hAnsi="PT Sans"/>
                <w:color w:val="0070C0"/>
                <w:sz w:val="22"/>
                <w:szCs w:val="22"/>
              </w:rPr>
            </w:pPr>
            <w:r w:rsidRPr="00100A1E">
              <w:rPr>
                <w:rFonts w:ascii="Helvetica" w:hAnsi="Helvetica"/>
                <w:color w:val="0070C0"/>
                <w:sz w:val="22"/>
                <w:szCs w:val="22"/>
                <w:bdr w:val="none" w:sz="0" w:space="0" w:color="auto" w:frame="1"/>
              </w:rPr>
              <w:t>Performance measurement is generally defined as the process of quantifying the efficiency and effectiveness of action (Neely et al., 1995). Effectiveness is the extent to which customer’s requirements are met, while efficiency measures how economically a firm’s resources are utilized to achieve a predetermined level of customer satisfaction. Based on Neely et al.’s assertions (Neely, 1998; Neely, 2005), only when you can measure something and express it in numbers, you have good background and knowledge about it. Otherwise, your knowledge about it is limited and unsatisfactory. According to Bhagwat and Sharma (2007), performance measurement describes the feedback on operations which are geared towards customer satisfaction, strategic decisions and objectives. They further point out that performance measurement reflects the need for improvement in operational areas which are referred to as bottlenecks in performance measures.</w:t>
            </w:r>
          </w:p>
          <w:p w:rsidR="00100A1E" w:rsidRPr="00100A1E" w:rsidRDefault="00100A1E" w:rsidP="00100A1E">
            <w:pPr>
              <w:pStyle w:val="NormalWeb"/>
              <w:spacing w:before="0" w:beforeAutospacing="0" w:after="0" w:afterAutospacing="0"/>
              <w:ind w:left="360"/>
              <w:jc w:val="both"/>
              <w:textAlignment w:val="baseline"/>
              <w:rPr>
                <w:rFonts w:ascii="PT Sans" w:hAnsi="PT Sans"/>
                <w:color w:val="0070C0"/>
                <w:sz w:val="22"/>
                <w:szCs w:val="22"/>
              </w:rPr>
            </w:pPr>
            <w:r w:rsidRPr="00100A1E">
              <w:rPr>
                <w:rFonts w:ascii="Helvetica" w:hAnsi="Helvetica"/>
                <w:color w:val="0070C0"/>
                <w:sz w:val="22"/>
                <w:szCs w:val="22"/>
                <w:bdr w:val="none" w:sz="0" w:space="0" w:color="auto" w:frame="1"/>
              </w:rPr>
              <w:t xml:space="preserve">Performance measurement is an important aspect of successful SCM. </w:t>
            </w:r>
            <w:proofErr w:type="spellStart"/>
            <w:r w:rsidRPr="00100A1E">
              <w:rPr>
                <w:rFonts w:ascii="Helvetica" w:hAnsi="Helvetica"/>
                <w:color w:val="0070C0"/>
                <w:sz w:val="22"/>
                <w:szCs w:val="22"/>
                <w:bdr w:val="none" w:sz="0" w:space="0" w:color="auto" w:frame="1"/>
              </w:rPr>
              <w:t>Gunasekaran</w:t>
            </w:r>
            <w:proofErr w:type="spellEnd"/>
            <w:r w:rsidRPr="00100A1E">
              <w:rPr>
                <w:rFonts w:ascii="Helvetica" w:hAnsi="Helvetica"/>
                <w:color w:val="0070C0"/>
                <w:sz w:val="22"/>
                <w:szCs w:val="22"/>
                <w:bdr w:val="none" w:sz="0" w:space="0" w:color="auto" w:frame="1"/>
              </w:rPr>
              <w:t xml:space="preserve"> et al. (2001) described effective performance measurement as necessary for SCM. Lai et al. (2002) further asserted that the lack of adequate performance measurement is one of the major obstacles to efficient SCM. According to Abu-Suleiman et al. (2004), the importance of performance measurement systems can be summarized in the following reasons:</w:t>
            </w:r>
          </w:p>
          <w:p w:rsidR="00100A1E" w:rsidRPr="00100A1E" w:rsidRDefault="00100A1E" w:rsidP="00100A1E">
            <w:pPr>
              <w:pStyle w:val="NormalWeb"/>
              <w:spacing w:before="0" w:beforeAutospacing="0" w:after="0" w:afterAutospacing="0"/>
              <w:ind w:left="360"/>
              <w:jc w:val="both"/>
              <w:textAlignment w:val="baseline"/>
              <w:rPr>
                <w:rFonts w:ascii="PT Sans" w:hAnsi="PT Sans"/>
                <w:color w:val="0070C0"/>
                <w:sz w:val="22"/>
                <w:szCs w:val="22"/>
              </w:rPr>
            </w:pPr>
            <w:r w:rsidRPr="00100A1E">
              <w:rPr>
                <w:rFonts w:ascii="inherit" w:hAnsi="inherit"/>
                <w:b/>
                <w:bCs/>
                <w:color w:val="0070C0"/>
                <w:sz w:val="22"/>
                <w:szCs w:val="22"/>
                <w:bdr w:val="none" w:sz="0" w:space="0" w:color="auto" w:frame="1"/>
              </w:rPr>
              <w:t>a.    Drive Organizational Actions</w:t>
            </w:r>
          </w:p>
          <w:p w:rsidR="00100A1E" w:rsidRPr="00100A1E" w:rsidRDefault="00100A1E" w:rsidP="00100A1E">
            <w:pPr>
              <w:pStyle w:val="NormalWeb"/>
              <w:spacing w:before="0" w:beforeAutospacing="0" w:after="0" w:afterAutospacing="0"/>
              <w:ind w:left="360"/>
              <w:jc w:val="both"/>
              <w:textAlignment w:val="baseline"/>
              <w:rPr>
                <w:rFonts w:ascii="PT Sans" w:hAnsi="PT Sans"/>
                <w:color w:val="0070C0"/>
                <w:sz w:val="22"/>
                <w:szCs w:val="22"/>
              </w:rPr>
            </w:pPr>
            <w:r w:rsidRPr="00100A1E">
              <w:rPr>
                <w:rFonts w:ascii="Helvetica" w:hAnsi="Helvetica"/>
                <w:color w:val="0070C0"/>
                <w:sz w:val="22"/>
                <w:szCs w:val="22"/>
                <w:bdr w:val="none" w:sz="0" w:space="0" w:color="auto" w:frame="1"/>
              </w:rPr>
              <w:t>Performance measurement drives actions in two respects: First, monitored measures get high visibility within an organization and people strive to achieve high performance with respect to these measures. Second, measured metrics drive actions by identifying areas of improvement. Once identified poor, management should take corrective actions to address such issues.</w:t>
            </w:r>
          </w:p>
          <w:p w:rsidR="00823AC7" w:rsidRDefault="00823AC7" w:rsidP="00A44B32">
            <w:pPr>
              <w:ind w:left="720"/>
              <w:rPr>
                <w:bCs/>
              </w:rPr>
            </w:pPr>
            <w:bookmarkStart w:id="0" w:name="_GoBack"/>
            <w:bookmarkEnd w:id="0"/>
          </w:p>
          <w:p w:rsidR="00100A1E" w:rsidRPr="00100A1E" w:rsidRDefault="00100A1E" w:rsidP="00100A1E">
            <w:pPr>
              <w:pStyle w:val="NormalWeb"/>
              <w:spacing w:before="0" w:beforeAutospacing="0" w:after="0" w:afterAutospacing="0"/>
              <w:jc w:val="both"/>
              <w:textAlignment w:val="baseline"/>
              <w:rPr>
                <w:rFonts w:ascii="PT Sans" w:hAnsi="PT Sans"/>
                <w:color w:val="0070C0"/>
                <w:sz w:val="22"/>
                <w:szCs w:val="22"/>
              </w:rPr>
            </w:pPr>
            <w:r w:rsidRPr="00100A1E">
              <w:rPr>
                <w:rFonts w:ascii="inherit" w:hAnsi="inherit"/>
                <w:b/>
                <w:bCs/>
                <w:i/>
                <w:iCs/>
                <w:color w:val="0070C0"/>
                <w:sz w:val="22"/>
                <w:szCs w:val="22"/>
                <w:bdr w:val="none" w:sz="0" w:space="0" w:color="auto" w:frame="1"/>
              </w:rPr>
              <w:lastRenderedPageBreak/>
              <w:t>b.    Framework for Decision Making</w:t>
            </w:r>
          </w:p>
          <w:p w:rsidR="00100A1E" w:rsidRPr="00100A1E" w:rsidRDefault="00100A1E" w:rsidP="00100A1E">
            <w:pPr>
              <w:pStyle w:val="NormalWeb"/>
              <w:spacing w:before="0" w:beforeAutospacing="0" w:after="0" w:afterAutospacing="0"/>
              <w:jc w:val="both"/>
              <w:textAlignment w:val="baseline"/>
              <w:rPr>
                <w:rFonts w:ascii="PT Sans" w:hAnsi="PT Sans"/>
                <w:color w:val="0070C0"/>
                <w:sz w:val="22"/>
                <w:szCs w:val="22"/>
              </w:rPr>
            </w:pPr>
            <w:r w:rsidRPr="00100A1E">
              <w:rPr>
                <w:rFonts w:ascii="Helvetica" w:hAnsi="Helvetica"/>
                <w:color w:val="0070C0"/>
                <w:sz w:val="22"/>
                <w:szCs w:val="22"/>
                <w:bdr w:val="none" w:sz="0" w:space="0" w:color="auto" w:frame="1"/>
              </w:rPr>
              <w:t>Measurement provides basis to evaluate alternatives and set decision criteria. The structure of the measurement system drives decisions and actions at the strategic, tactical and operational levels. Hence, a relevant performance management system targets optimizing the performance across multiple objectives</w:t>
            </w:r>
          </w:p>
          <w:p w:rsidR="00100A1E" w:rsidRPr="00AE705C" w:rsidRDefault="00100A1E" w:rsidP="00A44B32">
            <w:pPr>
              <w:ind w:left="720"/>
              <w:rPr>
                <w:bCs/>
              </w:rPr>
            </w:pPr>
          </w:p>
        </w:tc>
      </w:tr>
    </w:tbl>
    <w:p w:rsidR="00AB3A1F" w:rsidRPr="00AB3A1F" w:rsidRDefault="00AB3A1F" w:rsidP="00AB3A1F">
      <w:pPr>
        <w:rPr>
          <w:b/>
          <w:bCs/>
        </w:rPr>
      </w:pPr>
    </w:p>
    <w:p w:rsidR="00AB3A1F" w:rsidRPr="00AB3A1F" w:rsidRDefault="00AB3A1F" w:rsidP="00AE705C">
      <w:pPr>
        <w:rPr>
          <w:b/>
          <w:bCs/>
        </w:rPr>
      </w:pPr>
      <w:r w:rsidRPr="00AB3A1F">
        <w:rPr>
          <w:b/>
          <w:bCs/>
        </w:rPr>
        <w:t>Student Statement:</w:t>
      </w:r>
    </w:p>
    <w:p w:rsidR="00AB3A1F" w:rsidRPr="00AB3A1F" w:rsidRDefault="00AB3A1F" w:rsidP="00AE705C">
      <w:r w:rsidRPr="00AB3A1F">
        <w:t>By submitting this assignment, I c</w:t>
      </w:r>
      <w:r w:rsidR="00AE705C">
        <w:t>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AB3A1F" w:rsidRPr="00AB3A1F" w:rsidTr="00A833C4">
        <w:tc>
          <w:tcPr>
            <w:tcW w:w="2310" w:type="dxa"/>
            <w:shd w:val="clear" w:color="auto" w:fill="D9D9D9" w:themeFill="background1" w:themeFillShade="D9"/>
          </w:tcPr>
          <w:p w:rsidR="00AB3A1F" w:rsidRPr="00AB3A1F" w:rsidRDefault="00AB3A1F" w:rsidP="00AB3A1F">
            <w:pPr>
              <w:spacing w:after="200" w:line="276" w:lineRule="auto"/>
            </w:pPr>
            <w:r w:rsidRPr="00AB3A1F">
              <w:t>Student Signature</w:t>
            </w:r>
          </w:p>
        </w:tc>
        <w:tc>
          <w:tcPr>
            <w:tcW w:w="4035" w:type="dxa"/>
          </w:tcPr>
          <w:p w:rsidR="00AB3A1F" w:rsidRPr="00AB3A1F" w:rsidRDefault="00DA48A4" w:rsidP="00AB3A1F">
            <w:pPr>
              <w:spacing w:after="200" w:line="276" w:lineRule="auto"/>
            </w:pPr>
            <w:r>
              <w:t>Moham</w:t>
            </w:r>
            <w:r w:rsidR="00AB3A1F">
              <w:t>ed</w:t>
            </w:r>
          </w:p>
        </w:tc>
        <w:tc>
          <w:tcPr>
            <w:tcW w:w="1276" w:type="dxa"/>
            <w:shd w:val="clear" w:color="auto" w:fill="D9D9D9" w:themeFill="background1" w:themeFillShade="D9"/>
          </w:tcPr>
          <w:p w:rsidR="00AB3A1F" w:rsidRPr="00AB3A1F" w:rsidRDefault="00AB3A1F" w:rsidP="00AB3A1F">
            <w:pPr>
              <w:spacing w:after="200" w:line="276" w:lineRule="auto"/>
            </w:pPr>
            <w:r w:rsidRPr="00AB3A1F">
              <w:t>Date</w:t>
            </w:r>
          </w:p>
        </w:tc>
        <w:tc>
          <w:tcPr>
            <w:tcW w:w="1621" w:type="dxa"/>
          </w:tcPr>
          <w:p w:rsidR="00AB3A1F" w:rsidRPr="00AB3A1F" w:rsidRDefault="00A94240" w:rsidP="00AB3A1F">
            <w:pPr>
              <w:spacing w:after="200" w:line="276" w:lineRule="auto"/>
            </w:pPr>
            <w:r>
              <w:t>23</w:t>
            </w:r>
            <w:r w:rsidR="002D298C">
              <w:t>/</w:t>
            </w:r>
            <w:r w:rsidR="00AB3A1F" w:rsidRPr="00AB3A1F">
              <w:t>0</w:t>
            </w:r>
            <w:r w:rsidR="00B62ECD">
              <w:t>8</w:t>
            </w:r>
            <w:r w:rsidR="00AB3A1F" w:rsidRPr="00AB3A1F">
              <w:t>/2017</w:t>
            </w:r>
          </w:p>
        </w:tc>
      </w:tr>
    </w:tbl>
    <w:p w:rsidR="00AB3A1F" w:rsidRPr="00AB3A1F" w:rsidRDefault="00AB3A1F" w:rsidP="00AB3A1F"/>
    <w:p w:rsidR="00AB3A1F" w:rsidRPr="00AB3A1F" w:rsidRDefault="00AB3A1F" w:rsidP="00AB3A1F"/>
    <w:p w:rsidR="00AB3A1F" w:rsidRPr="00AB3A1F" w:rsidRDefault="00AB3A1F" w:rsidP="00AB3A1F">
      <w:pPr>
        <w:rPr>
          <w:b/>
        </w:rPr>
      </w:pPr>
      <w:r w:rsidRPr="00AB3A1F">
        <w:rPr>
          <w:b/>
        </w:rPr>
        <w:t>For Tutor / Assessor Use Only</w:t>
      </w:r>
    </w:p>
    <w:tbl>
      <w:tblPr>
        <w:tblStyle w:val="TableGrid"/>
        <w:tblW w:w="0" w:type="auto"/>
        <w:tblLook w:val="04A0" w:firstRow="1" w:lastRow="0" w:firstColumn="1" w:lastColumn="0" w:noHBand="0" w:noVBand="1"/>
      </w:tblPr>
      <w:tblGrid>
        <w:gridCol w:w="4621"/>
        <w:gridCol w:w="4621"/>
      </w:tblGrid>
      <w:tr w:rsidR="00AB3A1F" w:rsidRPr="00AB3A1F" w:rsidTr="00A833C4">
        <w:trPr>
          <w:trHeight w:val="249"/>
        </w:trPr>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Total Marks</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Marks Obtained</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Percentage / Grade</w:t>
            </w:r>
          </w:p>
        </w:tc>
        <w:tc>
          <w:tcPr>
            <w:tcW w:w="4621" w:type="dxa"/>
          </w:tcPr>
          <w:p w:rsidR="00AB3A1F" w:rsidRPr="00AB3A1F" w:rsidRDefault="00AB3A1F" w:rsidP="00AB3A1F">
            <w:pPr>
              <w:spacing w:after="200" w:line="276" w:lineRule="auto"/>
            </w:pPr>
          </w:p>
        </w:tc>
      </w:tr>
    </w:tbl>
    <w:p w:rsidR="00AB3A1F" w:rsidRPr="00AB3A1F" w:rsidRDefault="00AB3A1F" w:rsidP="00AB3A1F">
      <w:pPr>
        <w:rPr>
          <w:lang w:val="en-GB"/>
        </w:rPr>
      </w:pPr>
    </w:p>
    <w:p w:rsidR="00957223" w:rsidRDefault="00957223"/>
    <w:sectPr w:rsidR="00957223" w:rsidSect="00A62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PT 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864ED"/>
    <w:multiLevelType w:val="hybridMultilevel"/>
    <w:tmpl w:val="2AD216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095186"/>
    <w:multiLevelType w:val="hybridMultilevel"/>
    <w:tmpl w:val="A41089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09497F"/>
    <w:multiLevelType w:val="hybridMultilevel"/>
    <w:tmpl w:val="DCCADABE"/>
    <w:lvl w:ilvl="0" w:tplc="6AEA28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B1F2A"/>
    <w:multiLevelType w:val="hybridMultilevel"/>
    <w:tmpl w:val="A066F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AC5B93"/>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5" w15:restartNumberingAfterBreak="0">
    <w:nsid w:val="106A6E1B"/>
    <w:multiLevelType w:val="hybridMultilevel"/>
    <w:tmpl w:val="D50265CC"/>
    <w:lvl w:ilvl="0" w:tplc="81528A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AD061DD"/>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3441270"/>
    <w:multiLevelType w:val="hybridMultilevel"/>
    <w:tmpl w:val="82D814CA"/>
    <w:lvl w:ilvl="0" w:tplc="092E7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D3000B"/>
    <w:multiLevelType w:val="hybridMultilevel"/>
    <w:tmpl w:val="9B3E0F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36D2AD8"/>
    <w:multiLevelType w:val="hybridMultilevel"/>
    <w:tmpl w:val="CDC0B952"/>
    <w:lvl w:ilvl="0" w:tplc="81528AA2">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974"/>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ADB12B1"/>
    <w:multiLevelType w:val="hybridMultilevel"/>
    <w:tmpl w:val="68EA5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B5122E"/>
    <w:multiLevelType w:val="hybridMultilevel"/>
    <w:tmpl w:val="1EB218C0"/>
    <w:lvl w:ilvl="0" w:tplc="79AA01D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DFA6473"/>
    <w:multiLevelType w:val="hybridMultilevel"/>
    <w:tmpl w:val="F1362C42"/>
    <w:lvl w:ilvl="0" w:tplc="81528AA2">
      <w:start w:val="1"/>
      <w:numFmt w:val="lowerLetter"/>
      <w:lvlText w:val="%1."/>
      <w:lvlJc w:val="left"/>
      <w:pPr>
        <w:ind w:left="1800" w:hanging="360"/>
      </w:pPr>
      <w:rPr>
        <w:rFonts w:hint="default"/>
      </w:rPr>
    </w:lvl>
    <w:lvl w:ilvl="1" w:tplc="2CFAD00E">
      <w:start w:val="3"/>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236BB3"/>
    <w:multiLevelType w:val="hybridMultilevel"/>
    <w:tmpl w:val="E6A4D24A"/>
    <w:lvl w:ilvl="0" w:tplc="D7C2B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D24155A"/>
    <w:multiLevelType w:val="hybridMultilevel"/>
    <w:tmpl w:val="B6CAEE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6D769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57C444E2"/>
    <w:multiLevelType w:val="hybridMultilevel"/>
    <w:tmpl w:val="BE6CD1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7FA568D"/>
    <w:multiLevelType w:val="hybridMultilevel"/>
    <w:tmpl w:val="1C647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2F0EBF"/>
    <w:multiLevelType w:val="hybridMultilevel"/>
    <w:tmpl w:val="6428D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F16F2F"/>
    <w:multiLevelType w:val="hybridMultilevel"/>
    <w:tmpl w:val="2C80AFEA"/>
    <w:lvl w:ilvl="0" w:tplc="F99800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DC22FA"/>
    <w:multiLevelType w:val="hybridMultilevel"/>
    <w:tmpl w:val="0F580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46F3A0B"/>
    <w:multiLevelType w:val="hybridMultilevel"/>
    <w:tmpl w:val="D812C61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5275A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6ED5482"/>
    <w:multiLevelType w:val="hybridMultilevel"/>
    <w:tmpl w:val="8F26404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E304F1"/>
    <w:multiLevelType w:val="hybridMultilevel"/>
    <w:tmpl w:val="D04A4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F74023"/>
    <w:multiLevelType w:val="hybridMultilevel"/>
    <w:tmpl w:val="943C2EC0"/>
    <w:lvl w:ilvl="0" w:tplc="12849584">
      <w:start w:val="1"/>
      <w:numFmt w:val="lowerRoman"/>
      <w:lvlText w:val="%1."/>
      <w:lvlJc w:val="left"/>
      <w:pPr>
        <w:ind w:left="1080" w:hanging="720"/>
      </w:pPr>
      <w:rPr>
        <w:rFonts w:hint="default"/>
      </w:rPr>
    </w:lvl>
    <w:lvl w:ilvl="1" w:tplc="9918CB58">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890096"/>
    <w:multiLevelType w:val="multilevel"/>
    <w:tmpl w:val="548E5B60"/>
    <w:lvl w:ilvl="0">
      <w:start w:val="1"/>
      <w:numFmt w:val="decimal"/>
      <w:lvlText w:val="%1."/>
      <w:lvlJc w:val="left"/>
      <w:pPr>
        <w:tabs>
          <w:tab w:val="num" w:pos="2790"/>
        </w:tabs>
        <w:ind w:left="2790" w:hanging="360"/>
      </w:pPr>
    </w:lvl>
    <w:lvl w:ilvl="1" w:tentative="1">
      <w:start w:val="1"/>
      <w:numFmt w:val="decimal"/>
      <w:lvlText w:val="%2."/>
      <w:lvlJc w:val="left"/>
      <w:pPr>
        <w:tabs>
          <w:tab w:val="num" w:pos="3510"/>
        </w:tabs>
        <w:ind w:left="3510" w:hanging="360"/>
      </w:pPr>
    </w:lvl>
    <w:lvl w:ilvl="2" w:tentative="1">
      <w:start w:val="1"/>
      <w:numFmt w:val="decimal"/>
      <w:lvlText w:val="%3."/>
      <w:lvlJc w:val="left"/>
      <w:pPr>
        <w:tabs>
          <w:tab w:val="num" w:pos="4230"/>
        </w:tabs>
        <w:ind w:left="4230" w:hanging="360"/>
      </w:pPr>
    </w:lvl>
    <w:lvl w:ilvl="3" w:tentative="1">
      <w:start w:val="1"/>
      <w:numFmt w:val="decimal"/>
      <w:lvlText w:val="%4."/>
      <w:lvlJc w:val="left"/>
      <w:pPr>
        <w:tabs>
          <w:tab w:val="num" w:pos="4950"/>
        </w:tabs>
        <w:ind w:left="4950" w:hanging="360"/>
      </w:pPr>
    </w:lvl>
    <w:lvl w:ilvl="4" w:tentative="1">
      <w:start w:val="1"/>
      <w:numFmt w:val="decimal"/>
      <w:lvlText w:val="%5."/>
      <w:lvlJc w:val="left"/>
      <w:pPr>
        <w:tabs>
          <w:tab w:val="num" w:pos="5670"/>
        </w:tabs>
        <w:ind w:left="5670" w:hanging="360"/>
      </w:pPr>
    </w:lvl>
    <w:lvl w:ilvl="5" w:tentative="1">
      <w:start w:val="1"/>
      <w:numFmt w:val="decimal"/>
      <w:lvlText w:val="%6."/>
      <w:lvlJc w:val="left"/>
      <w:pPr>
        <w:tabs>
          <w:tab w:val="num" w:pos="6390"/>
        </w:tabs>
        <w:ind w:left="6390" w:hanging="360"/>
      </w:pPr>
    </w:lvl>
    <w:lvl w:ilvl="6" w:tentative="1">
      <w:start w:val="1"/>
      <w:numFmt w:val="decimal"/>
      <w:lvlText w:val="%7."/>
      <w:lvlJc w:val="left"/>
      <w:pPr>
        <w:tabs>
          <w:tab w:val="num" w:pos="7110"/>
        </w:tabs>
        <w:ind w:left="7110" w:hanging="360"/>
      </w:pPr>
    </w:lvl>
    <w:lvl w:ilvl="7" w:tentative="1">
      <w:start w:val="1"/>
      <w:numFmt w:val="decimal"/>
      <w:lvlText w:val="%8."/>
      <w:lvlJc w:val="left"/>
      <w:pPr>
        <w:tabs>
          <w:tab w:val="num" w:pos="7830"/>
        </w:tabs>
        <w:ind w:left="7830" w:hanging="360"/>
      </w:pPr>
    </w:lvl>
    <w:lvl w:ilvl="8" w:tentative="1">
      <w:start w:val="1"/>
      <w:numFmt w:val="decimal"/>
      <w:lvlText w:val="%9."/>
      <w:lvlJc w:val="left"/>
      <w:pPr>
        <w:tabs>
          <w:tab w:val="num" w:pos="8550"/>
        </w:tabs>
        <w:ind w:left="8550" w:hanging="360"/>
      </w:pPr>
    </w:lvl>
  </w:abstractNum>
  <w:abstractNum w:abstractNumId="28" w15:restartNumberingAfterBreak="0">
    <w:nsid w:val="73D15C09"/>
    <w:multiLevelType w:val="multilevel"/>
    <w:tmpl w:val="0FA47686"/>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9" w15:restartNumberingAfterBreak="0">
    <w:nsid w:val="749E1BC6"/>
    <w:multiLevelType w:val="multilevel"/>
    <w:tmpl w:val="0FA47686"/>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0" w15:restartNumberingAfterBreak="0">
    <w:nsid w:val="754F3781"/>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76E035BD"/>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77FA7871"/>
    <w:multiLevelType w:val="hybridMultilevel"/>
    <w:tmpl w:val="446C4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271F73"/>
    <w:multiLevelType w:val="hybridMultilevel"/>
    <w:tmpl w:val="773A513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4" w15:restartNumberingAfterBreak="0">
    <w:nsid w:val="7D462F36"/>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20"/>
  </w:num>
  <w:num w:numId="2">
    <w:abstractNumId w:val="0"/>
  </w:num>
  <w:num w:numId="3">
    <w:abstractNumId w:val="21"/>
  </w:num>
  <w:num w:numId="4">
    <w:abstractNumId w:val="17"/>
  </w:num>
  <w:num w:numId="5">
    <w:abstractNumId w:val="19"/>
  </w:num>
  <w:num w:numId="6">
    <w:abstractNumId w:val="5"/>
  </w:num>
  <w:num w:numId="7">
    <w:abstractNumId w:val="27"/>
  </w:num>
  <w:num w:numId="8">
    <w:abstractNumId w:val="13"/>
  </w:num>
  <w:num w:numId="9">
    <w:abstractNumId w:val="9"/>
  </w:num>
  <w:num w:numId="10">
    <w:abstractNumId w:val="24"/>
  </w:num>
  <w:num w:numId="11">
    <w:abstractNumId w:val="2"/>
  </w:num>
  <w:num w:numId="12">
    <w:abstractNumId w:val="4"/>
  </w:num>
  <w:num w:numId="13">
    <w:abstractNumId w:val="22"/>
  </w:num>
  <w:num w:numId="14">
    <w:abstractNumId w:val="16"/>
  </w:num>
  <w:num w:numId="15">
    <w:abstractNumId w:val="6"/>
  </w:num>
  <w:num w:numId="16">
    <w:abstractNumId w:val="30"/>
  </w:num>
  <w:num w:numId="17">
    <w:abstractNumId w:val="28"/>
  </w:num>
  <w:num w:numId="18">
    <w:abstractNumId w:val="29"/>
  </w:num>
  <w:num w:numId="19">
    <w:abstractNumId w:val="31"/>
  </w:num>
  <w:num w:numId="20">
    <w:abstractNumId w:val="34"/>
  </w:num>
  <w:num w:numId="21">
    <w:abstractNumId w:val="10"/>
  </w:num>
  <w:num w:numId="22">
    <w:abstractNumId w:val="18"/>
  </w:num>
  <w:num w:numId="23">
    <w:abstractNumId w:val="25"/>
  </w:num>
  <w:num w:numId="24">
    <w:abstractNumId w:val="15"/>
  </w:num>
  <w:num w:numId="25">
    <w:abstractNumId w:val="14"/>
  </w:num>
  <w:num w:numId="26">
    <w:abstractNumId w:val="1"/>
  </w:num>
  <w:num w:numId="27">
    <w:abstractNumId w:val="7"/>
  </w:num>
  <w:num w:numId="28">
    <w:abstractNumId w:val="11"/>
  </w:num>
  <w:num w:numId="29">
    <w:abstractNumId w:val="32"/>
  </w:num>
  <w:num w:numId="30">
    <w:abstractNumId w:val="26"/>
  </w:num>
  <w:num w:numId="31">
    <w:abstractNumId w:val="8"/>
  </w:num>
  <w:num w:numId="32">
    <w:abstractNumId w:val="3"/>
  </w:num>
  <w:num w:numId="33">
    <w:abstractNumId w:val="33"/>
  </w:num>
  <w:num w:numId="34">
    <w:abstractNumId w:val="12"/>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A1F"/>
    <w:rsid w:val="000123D0"/>
    <w:rsid w:val="00091BAA"/>
    <w:rsid w:val="000E5283"/>
    <w:rsid w:val="00100A1E"/>
    <w:rsid w:val="00122E2C"/>
    <w:rsid w:val="001B131A"/>
    <w:rsid w:val="001B4538"/>
    <w:rsid w:val="00205480"/>
    <w:rsid w:val="00221A03"/>
    <w:rsid w:val="002901D0"/>
    <w:rsid w:val="002D298C"/>
    <w:rsid w:val="002D31DF"/>
    <w:rsid w:val="0031682D"/>
    <w:rsid w:val="0033327B"/>
    <w:rsid w:val="00345F7D"/>
    <w:rsid w:val="003835BF"/>
    <w:rsid w:val="00386FB9"/>
    <w:rsid w:val="00393617"/>
    <w:rsid w:val="003F6294"/>
    <w:rsid w:val="0041290B"/>
    <w:rsid w:val="00414E67"/>
    <w:rsid w:val="00426F16"/>
    <w:rsid w:val="00455A22"/>
    <w:rsid w:val="00497D5A"/>
    <w:rsid w:val="004C3CB2"/>
    <w:rsid w:val="004F6F11"/>
    <w:rsid w:val="00565CFE"/>
    <w:rsid w:val="005873CB"/>
    <w:rsid w:val="0059760B"/>
    <w:rsid w:val="005C1A5D"/>
    <w:rsid w:val="005E4CEE"/>
    <w:rsid w:val="006029AD"/>
    <w:rsid w:val="00624A0F"/>
    <w:rsid w:val="00665801"/>
    <w:rsid w:val="006708B9"/>
    <w:rsid w:val="00672FBB"/>
    <w:rsid w:val="00721928"/>
    <w:rsid w:val="00744360"/>
    <w:rsid w:val="00765B1F"/>
    <w:rsid w:val="007743DA"/>
    <w:rsid w:val="007D6E40"/>
    <w:rsid w:val="007F5F45"/>
    <w:rsid w:val="0080469F"/>
    <w:rsid w:val="00823AC7"/>
    <w:rsid w:val="00843DEA"/>
    <w:rsid w:val="008C06A3"/>
    <w:rsid w:val="008D7215"/>
    <w:rsid w:val="00906674"/>
    <w:rsid w:val="0093464A"/>
    <w:rsid w:val="009456F0"/>
    <w:rsid w:val="00957223"/>
    <w:rsid w:val="00A27DBC"/>
    <w:rsid w:val="00A42D19"/>
    <w:rsid w:val="00A44B32"/>
    <w:rsid w:val="00A625FC"/>
    <w:rsid w:val="00A6308D"/>
    <w:rsid w:val="00A94240"/>
    <w:rsid w:val="00AA70F5"/>
    <w:rsid w:val="00AB3A1F"/>
    <w:rsid w:val="00AE705C"/>
    <w:rsid w:val="00B52B3E"/>
    <w:rsid w:val="00B62ECD"/>
    <w:rsid w:val="00B76819"/>
    <w:rsid w:val="00BC6EF6"/>
    <w:rsid w:val="00CB2BC6"/>
    <w:rsid w:val="00CD0CA9"/>
    <w:rsid w:val="00CE2CED"/>
    <w:rsid w:val="00CE7E61"/>
    <w:rsid w:val="00CF66AB"/>
    <w:rsid w:val="00D04620"/>
    <w:rsid w:val="00D25014"/>
    <w:rsid w:val="00D43212"/>
    <w:rsid w:val="00D60847"/>
    <w:rsid w:val="00D777FF"/>
    <w:rsid w:val="00DA48A4"/>
    <w:rsid w:val="00DB7FFD"/>
    <w:rsid w:val="00E012AF"/>
    <w:rsid w:val="00E7318D"/>
    <w:rsid w:val="00EF4785"/>
    <w:rsid w:val="00F350F5"/>
    <w:rsid w:val="00F91FC4"/>
    <w:rsid w:val="00FA5AE2"/>
    <w:rsid w:val="00FA5C49"/>
    <w:rsid w:val="00FE1B33"/>
    <w:rsid w:val="00FF59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D1ED58-89C7-4F9F-B935-39B87089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221A0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semiHidden/>
    <w:unhideWhenUsed/>
    <w:rsid w:val="00AB3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3A1F"/>
    <w:pPr>
      <w:ind w:left="720"/>
      <w:contextualSpacing/>
    </w:pPr>
  </w:style>
  <w:style w:type="paragraph" w:styleId="NormalWeb">
    <w:name w:val="Normal (Web)"/>
    <w:basedOn w:val="Normal"/>
    <w:uiPriority w:val="99"/>
    <w:semiHidden/>
    <w:unhideWhenUsed/>
    <w:rsid w:val="00386F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21A03"/>
    <w:rPr>
      <w:rFonts w:ascii="Times New Roman" w:eastAsia="Times New Roman" w:hAnsi="Times New Roman" w:cs="Times New Roman"/>
      <w:b/>
      <w:bCs/>
      <w:sz w:val="24"/>
      <w:szCs w:val="24"/>
    </w:rPr>
  </w:style>
  <w:style w:type="character" w:styleId="Strong">
    <w:name w:val="Strong"/>
    <w:basedOn w:val="DefaultParagraphFont"/>
    <w:uiPriority w:val="22"/>
    <w:qFormat/>
    <w:rsid w:val="00221A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62237">
      <w:bodyDiv w:val="1"/>
      <w:marLeft w:val="0"/>
      <w:marRight w:val="0"/>
      <w:marTop w:val="0"/>
      <w:marBottom w:val="0"/>
      <w:divBdr>
        <w:top w:val="none" w:sz="0" w:space="0" w:color="auto"/>
        <w:left w:val="none" w:sz="0" w:space="0" w:color="auto"/>
        <w:bottom w:val="none" w:sz="0" w:space="0" w:color="auto"/>
        <w:right w:val="none" w:sz="0" w:space="0" w:color="auto"/>
      </w:divBdr>
    </w:div>
    <w:div w:id="1349019338">
      <w:bodyDiv w:val="1"/>
      <w:marLeft w:val="0"/>
      <w:marRight w:val="0"/>
      <w:marTop w:val="0"/>
      <w:marBottom w:val="0"/>
      <w:divBdr>
        <w:top w:val="none" w:sz="0" w:space="0" w:color="auto"/>
        <w:left w:val="none" w:sz="0" w:space="0" w:color="auto"/>
        <w:bottom w:val="none" w:sz="0" w:space="0" w:color="auto"/>
        <w:right w:val="none" w:sz="0" w:space="0" w:color="auto"/>
      </w:divBdr>
    </w:div>
    <w:div w:id="1899511279">
      <w:bodyDiv w:val="1"/>
      <w:marLeft w:val="0"/>
      <w:marRight w:val="0"/>
      <w:marTop w:val="0"/>
      <w:marBottom w:val="0"/>
      <w:divBdr>
        <w:top w:val="none" w:sz="0" w:space="0" w:color="auto"/>
        <w:left w:val="none" w:sz="0" w:space="0" w:color="auto"/>
        <w:bottom w:val="none" w:sz="0" w:space="0" w:color="auto"/>
        <w:right w:val="none" w:sz="0" w:space="0" w:color="auto"/>
      </w:divBdr>
    </w:div>
    <w:div w:id="1926063101">
      <w:bodyDiv w:val="1"/>
      <w:marLeft w:val="0"/>
      <w:marRight w:val="0"/>
      <w:marTop w:val="0"/>
      <w:marBottom w:val="0"/>
      <w:divBdr>
        <w:top w:val="none" w:sz="0" w:space="0" w:color="auto"/>
        <w:left w:val="none" w:sz="0" w:space="0" w:color="auto"/>
        <w:bottom w:val="none" w:sz="0" w:space="0" w:color="auto"/>
        <w:right w:val="none" w:sz="0" w:space="0" w:color="auto"/>
      </w:divBdr>
    </w:div>
    <w:div w:id="196195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4</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alshehhi</dc:creator>
  <cp:keywords/>
  <dc:description/>
  <cp:lastModifiedBy>mohamed alshehhi</cp:lastModifiedBy>
  <cp:revision>42</cp:revision>
  <dcterms:created xsi:type="dcterms:W3CDTF">2017-07-11T08:37:00Z</dcterms:created>
  <dcterms:modified xsi:type="dcterms:W3CDTF">2017-08-23T03:57:00Z</dcterms:modified>
</cp:coreProperties>
</file>