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Style w:val="Tabellenraster"/>
        <w:tblW w:w="0" w:type="auto"/>
        <w:tblLook w:val="04A0" w:firstRow="1" w:lastRow="0" w:firstColumn="1" w:lastColumn="0" w:noHBand="0" w:noVBand="1"/>
      </w:tblPr>
      <w:tblGrid>
        <w:gridCol w:w="2566"/>
        <w:gridCol w:w="6676"/>
      </w:tblGrid>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pPr>
              <w:pStyle w:val="Default"/>
              <w:rPr>
                <w:rFonts w:ascii="Arial" w:hAnsi="Arial" w:cs="Arial"/>
              </w:rPr>
            </w:pPr>
            <w:bookmarkStart w:id="0" w:name="_GoBack"/>
            <w:bookmarkEnd w:id="0"/>
            <w:r>
              <w:rPr>
                <w:rFonts w:ascii="Arial" w:hAnsi="Arial" w:cs="Arial"/>
              </w:rPr>
              <w:t>Zhivka Borisova</w:t>
            </w:r>
          </w:p>
        </w:tc>
      </w:tr>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pPr>
              <w:pStyle w:val="Default"/>
              <w:rPr>
                <w:rFonts w:ascii="Arial" w:hAnsi="Arial" w:cs="Arial"/>
              </w:rPr>
            </w:pPr>
            <w:r>
              <w:rPr>
                <w:rFonts w:ascii="Arial" w:hAnsi="Arial" w:cs="Arial"/>
                <w:color w:val="222222"/>
                <w:shd w:val="clear" w:color="auto" w:fill="FFFFFF"/>
              </w:rPr>
              <w:t>19648</w:t>
            </w:r>
          </w:p>
        </w:tc>
      </w:tr>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pPr>
              <w:pStyle w:val="Default"/>
              <w:rPr>
                <w:rFonts w:ascii="Arial" w:hAnsi="Arial" w:cs="Arial"/>
              </w:rPr>
            </w:pPr>
            <w:r>
              <w:rPr>
                <w:rFonts w:ascii="Arial" w:hAnsi="Arial" w:cs="Arial"/>
              </w:rPr>
              <w:t>Diploma in Forensic Accounting</w:t>
            </w:r>
          </w:p>
        </w:tc>
      </w:tr>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pPr>
              <w:rPr>
                <w:rFonts w:ascii="Arial" w:hAnsi="Arial" w:cs="Arial"/>
                <w:sz w:val="24"/>
                <w:szCs w:val="24"/>
              </w:rPr>
            </w:pPr>
            <w:r>
              <w:rPr>
                <w:rFonts w:ascii="Arial" w:hAnsi="Arial" w:cs="Arial"/>
                <w:sz w:val="24"/>
                <w:szCs w:val="24"/>
              </w:rPr>
              <w:t>1</w:t>
            </w:r>
          </w:p>
        </w:tc>
      </w:tr>
    </w:tbl>
    <w:p>
      <w:pPr>
        <w:rPr>
          <w:b/>
          <w:lang w:val="en-US"/>
        </w:rPr>
      </w:pPr>
    </w:p>
    <w:p>
      <w:pPr>
        <w:rPr>
          <w:b/>
          <w:sz w:val="28"/>
          <w:lang w:val="en-US"/>
        </w:rPr>
      </w:pPr>
      <w:r>
        <w:rPr>
          <w:b/>
          <w:sz w:val="28"/>
          <w:lang w:val="en-US"/>
        </w:rPr>
        <w:t>Marking Criteria:</w:t>
      </w:r>
    </w:p>
    <w:p>
      <w:pPr>
        <w:rPr>
          <w:lang w:val="en-US"/>
        </w:rPr>
      </w:pP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Tabellenraster"/>
        <w:tblW w:w="0" w:type="auto"/>
        <w:tblLook w:val="04A0" w:firstRow="1" w:lastRow="0" w:firstColumn="1" w:lastColumn="0" w:noHBand="0" w:noVBand="1"/>
      </w:tblPr>
      <w:tblGrid>
        <w:gridCol w:w="9242"/>
      </w:tblGrid>
      <w:tr>
        <w:tc>
          <w:tcPr>
            <w:tcW w:w="9242" w:type="dxa"/>
          </w:tcPr>
          <w:p>
            <w:pPr>
              <w:pStyle w:val="Listenabsatz"/>
              <w:numPr>
                <w:ilvl w:val="0"/>
                <w:numId w:val="5"/>
              </w:numPr>
              <w:spacing w:after="38" w:line="360" w:lineRule="auto"/>
              <w:rPr>
                <w:rFonts w:ascii="Arial" w:eastAsia="Times New Roman" w:hAnsi="Arial" w:cs="Arial"/>
                <w:color w:val="000000"/>
                <w:sz w:val="24"/>
                <w:szCs w:val="24"/>
              </w:rPr>
            </w:pPr>
            <w:r>
              <w:rPr>
                <w:rFonts w:ascii="Arial" w:eastAsia="Times New Roman" w:hAnsi="Arial" w:cs="Arial"/>
                <w:b/>
                <w:bCs/>
                <w:color w:val="000000"/>
                <w:sz w:val="24"/>
                <w:szCs w:val="24"/>
              </w:rPr>
              <w:t>Short Questions: (20)</w:t>
            </w:r>
          </w:p>
          <w:p>
            <w:pPr>
              <w:pStyle w:val="Listenabsatz"/>
              <w:numPr>
                <w:ilvl w:val="0"/>
                <w:numId w:val="6"/>
              </w:numPr>
              <w:spacing w:after="38" w:line="360" w:lineRule="auto"/>
              <w:ind w:left="142" w:hanging="578"/>
              <w:rPr>
                <w:rFonts w:ascii="Arial" w:eastAsia="Times New Roman" w:hAnsi="Arial" w:cs="Arial"/>
                <w:color w:val="000000"/>
                <w:sz w:val="24"/>
                <w:szCs w:val="24"/>
              </w:rPr>
            </w:pPr>
            <w:r>
              <w:rPr>
                <w:rFonts w:ascii="Arial" w:eastAsia="Times New Roman" w:hAnsi="Arial" w:cs="Arial"/>
                <w:color w:val="000000"/>
                <w:sz w:val="24"/>
                <w:szCs w:val="24"/>
              </w:rPr>
              <w:t>i. What is fraud?</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According to the Association of Certified Fraud Examiners (ACFE), occupational fraud is “the use of one’s occupation for personal enrichment through the deliberate misuse or misapplication of the employing organization’s resources or assets.”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Legal definition of fraud: “A false representation of a matter of fact—whether by words or by conduct, by false or misleading allegations, or by concealment of what should have been disclosed—that deceives and is intended to deceive another so that the individual will act upon it to her or his legal injury.” Fraud is commonly understood as dishonesty calculated for advantage. A person who is dishonest may be called a fraud. In the U.S. and German legal systems, fraud is a specific offence with certain features.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Definition of fraud in the Oxford Dictionary: “Wrongful or criminal deception intended to result in financial or personal gain.”</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The so called “fraud triangle” by Donald Cressey is a model for explaining the factors that cause someone to commit occupational fraud. It consists of three components which, together, lead to fraudulent behaviour: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1) Perceived unshareable financial need (pressure or incentive)</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lastRenderedPageBreak/>
              <w:t>2) Perceived opportunity</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3) Rationalization or attitude</w:t>
            </w:r>
          </w:p>
          <w:p>
            <w:pPr>
              <w:spacing w:after="38" w:line="360" w:lineRule="auto"/>
              <w:ind w:left="75"/>
              <w:rPr>
                <w:rFonts w:ascii="Arial" w:eastAsia="Times New Roman" w:hAnsi="Arial" w:cs="Arial"/>
                <w:color w:val="000000"/>
                <w:sz w:val="24"/>
                <w:szCs w:val="24"/>
              </w:rPr>
            </w:pP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ii. What skills are most important to the successful practice of forensic accounting?</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Forensic accountants must be able to identify fraud with minimal initial information. At first they create possible fraud scheme theories and procedures to prove or refute the allegations. Also, the forensic accountant must have expertise in interviewing witnesses and suspects. It is of the utmost importance that the forensic accountant obtains a confession in a way that is admissible in court. A forensic accountant should be skeptical and should always question the originality/legitimacy of transactions, testimony and other documentation. A forensic accountant must be an expert in evidence-gathering techniques and be aware from the beginning of the investigation that such evidence may be used in a court of law. He/she must make every possible effort to ensure that the evidence is valid and admissible in court. The presentation of finding by the forensic accountant (written or oral) must be comprehensible to a layperson. Further, a thorough understanding of the intricacies of Generally Accepted Accounting Principles (GAAP), financial statement disclosure, internal control mechanisms as well as investigative skills and mentality are essential in order to carry out an efficient investigation. </w:t>
            </w:r>
          </w:p>
          <w:p>
            <w:pPr>
              <w:spacing w:after="38" w:line="360" w:lineRule="auto"/>
              <w:ind w:left="75"/>
              <w:rPr>
                <w:rFonts w:ascii="Arial" w:eastAsia="Times New Roman" w:hAnsi="Arial" w:cs="Arial"/>
                <w:color w:val="000000"/>
                <w:sz w:val="24"/>
                <w:szCs w:val="24"/>
              </w:rPr>
            </w:pP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iii. What qualities of mind and/or body should a forensic accountant possess?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Apart from knowledge-based qualities (technical accounting, interviewing/investigation techniques, etc.), a forensic accountant should be ethical, intuitive, analytical, flexible, methodical, confident, calm, with a common sense, resilient, etc.  </w:t>
            </w:r>
          </w:p>
          <w:p>
            <w:pPr>
              <w:spacing w:after="38" w:line="360" w:lineRule="auto"/>
              <w:ind w:left="75"/>
              <w:rPr>
                <w:rFonts w:ascii="Arial" w:eastAsia="Times New Roman" w:hAnsi="Arial" w:cs="Arial"/>
                <w:color w:val="000000"/>
                <w:sz w:val="24"/>
                <w:szCs w:val="24"/>
              </w:rPr>
            </w:pP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iv. Outline the basic steps involved in fraud investigation.</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Accepting the Investigation: Firstly, it is essential to determine whether the investigating team has the required experience and skills to undertake the job. Forensic accounting is a specialist field; therefore,</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accountants need to be well acquainted with investigation techniques and legal requirements. They</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lastRenderedPageBreak/>
              <w:t>should also be trained in handling evidence and keeping it in safe custody. Other issues that must be considered before accepting an investigation include ensuring that ethical dilemmas are avoided. For example, it would not be objective to investigate an audit client as the investigating firm will be vulnerable to bias if it is investigating the same company that it audits.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Planning the Investigation: It starts with determining the objectives of the assignment, e.g. type, period of fraud, how was the fraud concealed, involved persons, calculation of financial loss resulting from the fraud, suggestion of remediation/mitigating measures to prevent future fraud.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Gathering Evidence: 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 Safeguarding the evidence against attempts by suspects to destroy it is essential. The whole exercise of gathering evidence and protecting it leads to the ultimate goal of obtaining a</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confession of fraud by the people who are allegedly involved in it. Interviewing suspects to obtain this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confession is one of the key parts of gathering evidence, and the investigators must refrain from direct</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confrontations with the alleged perpetrators of fraud unless they have sufficient evidence to prove it.</w:t>
            </w:r>
            <w:r>
              <w:rPr>
                <w:rFonts w:ascii="Arial" w:eastAsia="Times New Roman" w:hAnsi="Arial" w:cs="Arial"/>
                <w:color w:val="3F6797"/>
                <w:sz w:val="24"/>
                <w:szCs w:val="24"/>
              </w:rPr>
              <w:br/>
              <w:t>&gt; Reporting: Each investigation results in an investigation report summarizing the evidence obtained, the extent of the losses incurred, the company’s control mechanisms that were broken down (or were not in place) by the perpetrators to commit fraud, the manner in which fraud was conducted, etc. The report should also contain recommendations and suggestions to improve or implement internal controls for fraud prevention.</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 xml:space="preserve">&gt; Court Proceedings: Investigations usually leads to a court case in which the evidence gathered during the investigation is presented in front of the court. The investigation team members may also be called before the court to explain how they have managed to identify the perpetrators of fraud and as such to explain the evidence they have gathered professionally (maintaining appropriate chain of </w:t>
            </w:r>
            <w:r>
              <w:rPr>
                <w:rFonts w:ascii="Arial" w:eastAsia="Times New Roman" w:hAnsi="Arial" w:cs="Arial"/>
                <w:color w:val="3F6797"/>
                <w:sz w:val="24"/>
                <w:szCs w:val="24"/>
              </w:rPr>
              <w:lastRenderedPageBreak/>
              <w:t>custody), in a language that is comprehensible to non-accounting people, and to defend their conclusions.</w:t>
            </w:r>
          </w:p>
          <w:p>
            <w:pPr>
              <w:spacing w:after="38" w:line="360" w:lineRule="auto"/>
              <w:ind w:left="75"/>
              <w:rPr>
                <w:rFonts w:ascii="Arial" w:eastAsia="Times New Roman" w:hAnsi="Arial" w:cs="Arial"/>
                <w:color w:val="000000"/>
                <w:sz w:val="24"/>
                <w:szCs w:val="24"/>
              </w:rPr>
            </w:pP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v. How would you distinguish forensic accounting, fraud auditing, and investigative</w:t>
            </w: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auditing from financial auditing?</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Forensic accounting serves as a back-up to prove a fraud in the business in an apparently risk-prone</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environment. The purpose of forensic accounting is to present analytical accounting and financial information to support legal and administrative decisions. Thus detailed planning of task aimed</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at documenting deterministic and calculative analysis is essential. Contrary to financial auditing, the forensic accountant’s work results in an investigation report.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Forensic accountants are trained in carrying out investigations, providing solutions to disputed accounting problems, formulating expert reports, gathering evidence and presenting it in court, and making court appearances as witnesses. A forensic accountant is not only an accounting expert but is also well versed in legal matters and is able to provide assistance to lawyers.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Fraud auditing is a particular area of forensic accounting. It deals with criminal activities restricted to fraud, as opposed to forensic accounting, a more general name for a financial investigation that leads to legal outcomes. In short, fraud auditing is the process of detecting, preventing, and correcting fraudulent activities. Accounting-type frauds are usually accompanied by the modification, alteration, destruction, or counterfeiting of accounting evidence. But accounting records can be either intentionally or accidentally modified, altered, or destroyed, by human error or omission. The first objective for the fraud auditor is to determine whether a discrepancy in accounting records is attributable to human error. If it is, there may be no actual fraud. If the discrepancy (missing records, destroyed records, modified records, counterfeit records, errors, omissions) cannot be attributed to accidental or human error, further investigation should follow at an appropriate level.</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 xml:space="preserve">Fraud auditors are generally accountants or auditors who—by virtue of their attitudes, attributes, skills, knowledge, and experience—are experts at detecting and documenting frauds in books of records of accounting and financial transactions </w:t>
            </w:r>
            <w:r>
              <w:rPr>
                <w:rFonts w:ascii="Arial" w:eastAsia="Times New Roman" w:hAnsi="Arial" w:cs="Arial"/>
                <w:color w:val="3F6797"/>
                <w:sz w:val="24"/>
                <w:szCs w:val="24"/>
              </w:rPr>
              <w:lastRenderedPageBreak/>
              <w:t>and events.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The skills fraud auditors require include all of those that are required of financial auditors, plus the knowledge of how to gather evidence of and document fraud losses for criminal, civil, contractual, and insurance purposes; how to interview third-party witnesses; and how to testify as an expert witness.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Fraud auditors must know what a fraud is from a legal and audit perspective, an environmental perspective, a perpetrator’s perspective, and a cultural perspective. They also need both general and specific kinds of experience. They should have a fair amount of experience in general auditing and fraud auditing, but should have industry-specific experience as well (e.g., banking; insurance; construction; and manufacturing, distribution, and retailing).</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Investigative auditing: An investigative audit is the same as a forensic audit. In forensic auditing, accountants with specialized knowledge of both accounting and investigation seek to uncover fraud, missing money, negligence and/or malfeasance. When fraud or theft is uncovered, the investigative auditor compiles evidence and is often asked to testify if the individual responsible for the theft is eventually prosecuted.</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Financial auditing: Financial auditing is a different concept from forensic accounting and fraud auditing. Financial auditing typically refers to the process of evaluating the compliance of financial information with regulatory standards, usually for public companies, by an external, independent entity. Contrary to forensic accounting financial audits are based on sampled and/or probabilistic procedures to serve as a basis for concluding the financial statement. Financial audits result in auditors’ reports, management letters and adjustments of financial statements.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Financial auditors have expertise in their knowledge of accounting and financial reporting (such as in generally accepted accounting principles or GAAP, PCAOB standards, or International Financial Reporting Standards or IFRS), auditing (generally accepted audit standards or GAAS), and how those standards apply to business transactions. As expressed in the GAAS literature, the most important financial auditing attributes are independence, objectivity, and professional skepticism.</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Conclusion:</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 xml:space="preserve">Financial auditors are those who perform financial auditing. Fraud auditors are part </w:t>
            </w:r>
            <w:r>
              <w:rPr>
                <w:rFonts w:ascii="Arial" w:eastAsia="Times New Roman" w:hAnsi="Arial" w:cs="Arial"/>
                <w:color w:val="3F6797"/>
                <w:sz w:val="24"/>
                <w:szCs w:val="24"/>
              </w:rPr>
              <w:lastRenderedPageBreak/>
              <w:t>of the forensic accountants—in broader manner—who have skills, abilities, and knowledge related to the fraud cycle (experts at detecting and documenting frauds in books of records of accounting and financial transactions and events). And, forensic accountants are those who not only expert in accounting and auditing process but in criminal investigation, interviewing, report writing, and testifying as expert witnesses/providing litigation support. Investigative accounting involves skills that regular accountants do not usually possess. For example, a forensic accountant is trained to introduce evidence in court, answer questions from attorneys while on the witness stand and understand courtroom rules and procedure. </w:t>
            </w:r>
          </w:p>
          <w:p>
            <w:pPr>
              <w:spacing w:after="38" w:line="360" w:lineRule="auto"/>
              <w:ind w:left="75"/>
              <w:rPr>
                <w:rFonts w:ascii="Arial" w:eastAsia="Times New Roman" w:hAnsi="Arial" w:cs="Arial"/>
                <w:color w:val="000000"/>
                <w:sz w:val="24"/>
                <w:szCs w:val="24"/>
              </w:rPr>
            </w:pPr>
          </w:p>
          <w:p>
            <w:pPr>
              <w:pStyle w:val="Listenabsatz"/>
              <w:numPr>
                <w:ilvl w:val="0"/>
                <w:numId w:val="6"/>
              </w:numPr>
              <w:spacing w:after="38" w:line="360" w:lineRule="auto"/>
              <w:rPr>
                <w:rFonts w:ascii="Arial" w:eastAsia="Times New Roman" w:hAnsi="Arial" w:cs="Arial"/>
                <w:color w:val="000000"/>
                <w:sz w:val="24"/>
                <w:szCs w:val="24"/>
              </w:rPr>
            </w:pPr>
            <w:r>
              <w:rPr>
                <w:rFonts w:ascii="Arial" w:eastAsia="Times New Roman" w:hAnsi="Arial" w:cs="Arial"/>
                <w:b/>
                <w:bCs/>
                <w:color w:val="000000"/>
                <w:sz w:val="24"/>
                <w:szCs w:val="24"/>
              </w:rPr>
              <w:t>Case study (10)</w:t>
            </w:r>
          </w:p>
          <w:p>
            <w:pPr>
              <w:spacing w:after="38" w:line="360" w:lineRule="auto"/>
              <w:ind w:left="75"/>
              <w:rPr>
                <w:rFonts w:ascii="Arial" w:eastAsia="Times New Roman" w:hAnsi="Arial" w:cs="Arial"/>
                <w:color w:val="000000"/>
                <w:sz w:val="24"/>
                <w:szCs w:val="24"/>
              </w:rPr>
            </w:pPr>
          </w:p>
          <w:p>
            <w:pPr>
              <w:numPr>
                <w:ilvl w:val="0"/>
                <w:numId w:val="4"/>
              </w:numPr>
              <w:tabs>
                <w:tab w:val="clear" w:pos="720"/>
                <w:tab w:val="num" w:pos="142"/>
              </w:tabs>
              <w:spacing w:after="38" w:line="360" w:lineRule="auto"/>
              <w:ind w:left="426" w:hanging="284"/>
              <w:rPr>
                <w:rFonts w:ascii="Arial" w:eastAsia="Times New Roman" w:hAnsi="Arial" w:cs="Arial"/>
                <w:color w:val="000000"/>
                <w:sz w:val="24"/>
                <w:szCs w:val="24"/>
              </w:rPr>
            </w:pPr>
            <w:r>
              <w:rPr>
                <w:rFonts w:ascii="Arial" w:eastAsia="Times New Roman" w:hAnsi="Arial" w:cs="Arial"/>
                <w:color w:val="000000"/>
                <w:sz w:val="24"/>
                <w:szCs w:val="24"/>
              </w:rPr>
              <w:t>How the investigation for the above case should be started?</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First, I would interview the whistleblower to obtain a better understanding of the allegation. Then I would collect and investigate evidence - ensuring proper chain of custody - (refer to #2 below) and based on the outcome I would prepare questions for a forensic interview with the suspect. </w:t>
            </w: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 </w:t>
            </w: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2. Outline some documents which you think can help disclose the administrator’s fraud activities.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First of all it is important to understand the T&amp;E process, authorities and controls. It appears that the T&amp;E process in ineffective as the same person is able to submit and approve his own expenses.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Review bank statements and bank reconciliations to verify checks to the administrator, review rationale for payment, who are the check signers, are they entitled to sign, etc. Interview the reconciler of the bank statements. He/she should be able to prevent/detect the crime unless the employees are in collusion.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 xml:space="preserve">&gt; Also employees should have a creditor number when they are reimbursed for T&amp;E expenses. Obtain a breakdown of the creditor account of the administrator, review the rationale for reimbursement, nature of expenses and the underlying supporting documents, such as T&amp;E reports, receipts, documentation of entertainment </w:t>
            </w:r>
            <w:r>
              <w:rPr>
                <w:rFonts w:ascii="Arial" w:eastAsia="Times New Roman" w:hAnsi="Arial" w:cs="Arial"/>
                <w:color w:val="3F6797"/>
                <w:sz w:val="24"/>
                <w:szCs w:val="24"/>
              </w:rPr>
              <w:lastRenderedPageBreak/>
              <w:t>business purpose/participants/approval. Search for expenses which appear private nature or are otherwise inappropriate (e.g. mileage for private car while driving a lease car, car repairs)</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Obtain and review credit card statements for the board credit card; Determine who was entitled for usage of the credit card. Search for expenses which appear private nature (entertainment, fuel, car repairs, esp. on the weekend)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Review all T&amp;E reports submitted and approved by the administrator where 4-eyes principle was not in place</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&gt; Obtain payment records (e.g. in the past 2 years) to review any payments/reimbursements made to the administrator</w:t>
            </w:r>
          </w:p>
          <w:p>
            <w:pPr>
              <w:spacing w:after="38" w:line="360" w:lineRule="auto"/>
              <w:ind w:left="75"/>
              <w:rPr>
                <w:rFonts w:ascii="Arial" w:eastAsia="Times New Roman" w:hAnsi="Arial" w:cs="Arial"/>
                <w:color w:val="000000"/>
                <w:sz w:val="24"/>
                <w:szCs w:val="24"/>
              </w:rPr>
            </w:pP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3. If the forensic accountant is to be hired, how should he be chosen?</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The forensic accountant should be ethical, independent, credible, with sufficient experience in the subject area and knowledge of relevant professional standards, legal requirements, investigation techniques and interviewing skills. Credibility is essential as the forensic accountant’s work often results in providing evidence as an expert accounting witness in front of the court. Apart from relevant experience, training and professional qualifications (e.g. CPA, CFE, Certified Forensic Accountant) provide substantial force to an expert’s credibility. </w:t>
            </w:r>
          </w:p>
          <w:p>
            <w:pPr>
              <w:spacing w:after="38" w:line="360" w:lineRule="auto"/>
              <w:ind w:left="75"/>
              <w:rPr>
                <w:rFonts w:ascii="Arial" w:eastAsia="Times New Roman" w:hAnsi="Arial" w:cs="Arial"/>
                <w:color w:val="3F6797"/>
                <w:sz w:val="24"/>
                <w:szCs w:val="24"/>
              </w:rPr>
            </w:pPr>
            <w:r>
              <w:rPr>
                <w:rFonts w:ascii="Arial" w:eastAsia="Times New Roman" w:hAnsi="Arial" w:cs="Arial"/>
                <w:color w:val="3F6797"/>
                <w:sz w:val="24"/>
                <w:szCs w:val="24"/>
              </w:rPr>
              <w:t>Last but not least a forensic accountant must possess an investigative mindset and should be able to interpret financial information in an objective manner as well as to identify financial issues and risks, regardless of materiality,   </w:t>
            </w:r>
          </w:p>
          <w:p>
            <w:pPr>
              <w:spacing w:after="38" w:line="360" w:lineRule="auto"/>
              <w:ind w:left="75"/>
              <w:rPr>
                <w:rFonts w:ascii="Arial" w:eastAsia="Times New Roman" w:hAnsi="Arial" w:cs="Arial"/>
                <w:color w:val="000000"/>
                <w:sz w:val="24"/>
                <w:szCs w:val="24"/>
              </w:rPr>
            </w:pPr>
          </w:p>
          <w:p>
            <w:pPr>
              <w:spacing w:after="38" w:line="360" w:lineRule="auto"/>
              <w:ind w:left="75"/>
              <w:rPr>
                <w:rFonts w:ascii="Arial" w:eastAsia="Times New Roman" w:hAnsi="Arial" w:cs="Arial"/>
                <w:color w:val="000000"/>
                <w:sz w:val="24"/>
                <w:szCs w:val="24"/>
              </w:rPr>
            </w:pPr>
            <w:r>
              <w:rPr>
                <w:rFonts w:ascii="Arial" w:eastAsia="Times New Roman" w:hAnsi="Arial" w:cs="Arial"/>
                <w:color w:val="000000"/>
                <w:sz w:val="24"/>
                <w:szCs w:val="24"/>
              </w:rPr>
              <w:t>4. Should the administrator be interviewed? If so, at which stage?</w:t>
            </w:r>
          </w:p>
          <w:p>
            <w:pPr>
              <w:spacing w:line="360" w:lineRule="auto"/>
              <w:ind w:left="75"/>
              <w:rPr>
                <w:rFonts w:ascii="Arial" w:hAnsi="Arial" w:cs="Arial"/>
                <w:b/>
                <w:sz w:val="24"/>
                <w:szCs w:val="24"/>
              </w:rPr>
            </w:pPr>
            <w:r>
              <w:rPr>
                <w:rFonts w:ascii="Arial" w:eastAsia="Times New Roman" w:hAnsi="Arial" w:cs="Arial"/>
                <w:color w:val="3F6797"/>
                <w:sz w:val="24"/>
                <w:szCs w:val="24"/>
              </w:rPr>
              <w:t>The administrator should be definitely interviewed at a rather late or even final stage of the investigation, once the documents review is completed, witnesses are interviewed and sufficient evidence is collected to substantiate the allegation. Also the suspect should not become aware of the investigation as otherwise he/she may destroy evidence (documents, e-mails, etc.). As deemed appropriately, the suspect should be confronted with particular evidence in the course of the interview. Interviews with suspects should be conducted under caution.</w:t>
            </w: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tc>
          <w:tcPr>
            <w:tcW w:w="2310" w:type="dxa"/>
            <w:shd w:val="clear" w:color="auto" w:fill="D9D9D9" w:themeFill="background1" w:themeFillShade="D9"/>
          </w:tcPr>
          <w:p>
            <w:pPr>
              <w:rPr>
                <w:rFonts w:cs="Bliss-Regular"/>
                <w:color w:val="000000"/>
              </w:rPr>
            </w:pPr>
            <w:r>
              <w:rPr>
                <w:rFonts w:cs="Bliss-Regular"/>
                <w:color w:val="000000"/>
              </w:rPr>
              <w:t>Student Signature</w:t>
            </w:r>
          </w:p>
        </w:tc>
        <w:tc>
          <w:tcPr>
            <w:tcW w:w="4035" w:type="dxa"/>
          </w:tcPr>
          <w:p>
            <w:pPr>
              <w:rPr>
                <w:rFonts w:cs="Bliss-Regular"/>
                <w:color w:val="000000"/>
              </w:rPr>
            </w:pPr>
            <w:r>
              <w:rPr>
                <w:noProof/>
              </w:rPr>
              <w:drawing>
                <wp:inline distT="0" distB="0" distL="0" distR="0">
                  <wp:extent cx="975360" cy="33182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976327" cy="332153"/>
                          </a:xfrm>
                          <a:prstGeom prst="rect">
                            <a:avLst/>
                          </a:prstGeom>
                        </pic:spPr>
                      </pic:pic>
                    </a:graphicData>
                  </a:graphic>
                </wp:inline>
              </w:drawing>
            </w:r>
          </w:p>
        </w:tc>
        <w:tc>
          <w:tcPr>
            <w:tcW w:w="1276" w:type="dxa"/>
            <w:shd w:val="clear" w:color="auto" w:fill="D9D9D9" w:themeFill="background1" w:themeFillShade="D9"/>
          </w:tcPr>
          <w:p>
            <w:pPr>
              <w:rPr>
                <w:rFonts w:cs="Bliss-Regular"/>
                <w:color w:val="000000"/>
              </w:rPr>
            </w:pPr>
            <w:r>
              <w:rPr>
                <w:rFonts w:cs="Bliss-Regular"/>
                <w:color w:val="000000"/>
              </w:rPr>
              <w:t>Date</w:t>
            </w:r>
          </w:p>
        </w:tc>
        <w:tc>
          <w:tcPr>
            <w:tcW w:w="1621" w:type="dxa"/>
          </w:tcPr>
          <w:p>
            <w:pPr>
              <w:rPr>
                <w:rFonts w:cs="Bliss-Regular"/>
                <w:color w:val="000000"/>
              </w:rPr>
            </w:pPr>
            <w:r>
              <w:rPr>
                <w:rFonts w:cs="Bliss-Regular"/>
                <w:color w:val="000000"/>
              </w:rPr>
              <w:t>07.03.2018</w:t>
            </w:r>
          </w:p>
        </w:tc>
      </w:tr>
    </w:tbl>
    <w:p>
      <w:pPr>
        <w:rPr>
          <w:rFonts w:cs="Bliss-Regular"/>
          <w:color w:val="000000"/>
          <w:lang w:val="en-US"/>
        </w:rPr>
      </w:pPr>
    </w:p>
    <w:p>
      <w:pPr>
        <w:rPr>
          <w:rFonts w:cs="Bliss-Regular"/>
          <w:color w:val="000000"/>
          <w:lang w:val="en-US"/>
        </w:rPr>
      </w:pPr>
    </w:p>
    <w:p>
      <w:pPr>
        <w:shd w:val="clear" w:color="auto" w:fill="D9D9D9" w:themeFill="background1" w:themeFillShade="D9"/>
        <w:rPr>
          <w:b/>
          <w:sz w:val="32"/>
          <w:lang w:val="en-US"/>
        </w:rPr>
      </w:pPr>
      <w:r>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trPr>
          <w:trHeight w:val="249"/>
        </w:trPr>
        <w:tc>
          <w:tcPr>
            <w:tcW w:w="4621" w:type="dxa"/>
            <w:shd w:val="clear" w:color="auto" w:fill="D9D9D9" w:themeFill="background1" w:themeFillShade="D9"/>
          </w:tcPr>
          <w:p>
            <w:pPr>
              <w:rPr>
                <w:b/>
                <w:color w:val="002060"/>
              </w:rPr>
            </w:pPr>
            <w:r>
              <w:rPr>
                <w:b/>
                <w:color w:val="002060"/>
              </w:rPr>
              <w:t>Total Marks</w:t>
            </w:r>
          </w:p>
        </w:tc>
        <w:tc>
          <w:tcPr>
            <w:tcW w:w="4621" w:type="dxa"/>
          </w:tcPr>
          <w:p>
            <w:pPr>
              <w:rPr>
                <w:rFonts w:cs="Times New Roman"/>
                <w:szCs w:val="32"/>
              </w:rPr>
            </w:pPr>
          </w:p>
        </w:tc>
      </w:tr>
      <w:tr>
        <w:tc>
          <w:tcPr>
            <w:tcW w:w="4621" w:type="dxa"/>
            <w:shd w:val="clear" w:color="auto" w:fill="D9D9D9" w:themeFill="background1" w:themeFillShade="D9"/>
          </w:tcPr>
          <w:p>
            <w:pPr>
              <w:rPr>
                <w:b/>
                <w:color w:val="002060"/>
              </w:rPr>
            </w:pPr>
            <w:r>
              <w:rPr>
                <w:b/>
                <w:color w:val="002060"/>
              </w:rPr>
              <w:t>Marks Obtained</w:t>
            </w:r>
          </w:p>
        </w:tc>
        <w:tc>
          <w:tcPr>
            <w:tcW w:w="4621" w:type="dxa"/>
          </w:tcPr>
          <w:p>
            <w:pPr>
              <w:rPr>
                <w:rFonts w:cs="Times New Roman"/>
                <w:szCs w:val="32"/>
              </w:rPr>
            </w:pPr>
          </w:p>
        </w:tc>
      </w:tr>
      <w:tr>
        <w:tc>
          <w:tcPr>
            <w:tcW w:w="4621" w:type="dxa"/>
            <w:shd w:val="clear" w:color="auto" w:fill="D9D9D9" w:themeFill="background1" w:themeFillShade="D9"/>
          </w:tcPr>
          <w:p>
            <w:pPr>
              <w:rPr>
                <w:b/>
                <w:color w:val="002060"/>
              </w:rPr>
            </w:pPr>
            <w:r>
              <w:rPr>
                <w:b/>
                <w:color w:val="002060"/>
              </w:rPr>
              <w:t>Percentage / Grade</w:t>
            </w:r>
          </w:p>
        </w:tc>
        <w:tc>
          <w:tcPr>
            <w:tcW w:w="4621" w:type="dxa"/>
          </w:tcPr>
          <w:p>
            <w:pPr>
              <w:rPr>
                <w:rFonts w:cs="Times New Roman"/>
                <w:szCs w:val="32"/>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pPr>
    <w:r>
      <w:t>Unrestricted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735B4"/>
    <w:multiLevelType w:val="multilevel"/>
    <w:tmpl w:val="0D864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A43A55"/>
    <w:multiLevelType w:val="hybridMultilevel"/>
    <w:tmpl w:val="27648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A679F6"/>
    <w:multiLevelType w:val="multilevel"/>
    <w:tmpl w:val="29A2A5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672F4B4C"/>
    <w:multiLevelType w:val="hybridMultilevel"/>
    <w:tmpl w:val="E618AC3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9A4E3E"/>
    <w:multiLevelType w:val="multilevel"/>
    <w:tmpl w:val="AEB0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13"/>
        <w:tab w:val="right" w:pos="9026"/>
      </w:tabs>
      <w:spacing w:after="0" w:line="240" w:lineRule="auto"/>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Listenabsatz">
    <w:name w:val="List Paragraph"/>
    <w:basedOn w:val="Standard"/>
    <w:uiPriority w:val="34"/>
    <w:qFormat/>
    <w:pPr>
      <w:ind w:left="720"/>
      <w:contextualSpacing/>
    </w:pPr>
    <w:rPr>
      <w:rFonts w:ascii="Calibri" w:eastAsia="Calibri" w:hAnsi="Calibri" w:cs="Times New Roman"/>
      <w:lang w:val="en-US"/>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s3">
    <w:name w:val="gmail-s3"/>
    <w:basedOn w:val="Absatz-Standardschriftart"/>
  </w:style>
  <w:style w:type="paragraph" w:customStyle="1" w:styleId="gmail-p2">
    <w:name w:val="gmail-p2"/>
    <w:basedOn w:val="Standar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4">
    <w:name w:val="gmail-p4"/>
    <w:basedOn w:val="Standar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mail-apple-converted-space">
    <w:name w:val="gmail-apple-converted-space"/>
    <w:basedOn w:val="Absatz-Standardschriftart"/>
  </w:style>
  <w:style w:type="paragraph" w:customStyle="1" w:styleId="gmail-p5">
    <w:name w:val="gmail-p5"/>
    <w:basedOn w:val="Standar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1">
    <w:name w:val="gmail-p1"/>
    <w:basedOn w:val="Standar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6">
    <w:name w:val="gmail-p6"/>
    <w:basedOn w:val="Standar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4072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12672-4F75-452A-A46D-662F9300A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2215</Words>
  <Characters>12817</Characters>
  <Application>Microsoft Office Word</Application>
  <DocSecurity>0</DocSecurity>
  <Lines>264</Lines>
  <Paragraphs>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15037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keywords>C_Unrestricted</cp:keywords>
  <cp:lastModifiedBy>z0037rur</cp:lastModifiedBy>
  <cp:revision>1</cp:revision>
  <dcterms:created xsi:type="dcterms:W3CDTF">2015-01-26T12:24:00Z</dcterms:created>
  <dcterms:modified xsi:type="dcterms:W3CDTF">2018-03-07T19:06:00Z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ies>
</file>