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5DF" w:rsidRPr="00B0415E" w:rsidRDefault="00A825DF" w:rsidP="00A825D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92032" behindDoc="0" locked="0" layoutInCell="1" allowOverlap="1" wp14:anchorId="4BC41D89" wp14:editId="3DADF6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825DF" w:rsidRDefault="00A825DF" w:rsidP="00A825DF">
      <w:pPr>
        <w:rPr>
          <w:lang w:val="en-US"/>
        </w:rPr>
      </w:pPr>
      <w:r>
        <w:rPr>
          <w:noProof/>
          <w:lang w:eastAsia="en-GB"/>
        </w:rPr>
        <mc:AlternateContent>
          <mc:Choice Requires="wps">
            <w:drawing>
              <wp:anchor distT="0" distB="0" distL="114300" distR="114300" simplePos="0" relativeHeight="251693056" behindDoc="0" locked="0" layoutInCell="1" allowOverlap="1" wp14:anchorId="55D1800A" wp14:editId="6129DE31">
                <wp:simplePos x="0" y="0"/>
                <wp:positionH relativeFrom="column">
                  <wp:posOffset>2889885</wp:posOffset>
                </wp:positionH>
                <wp:positionV relativeFrom="paragraph">
                  <wp:posOffset>99695</wp:posOffset>
                </wp:positionV>
                <wp:extent cx="3114040" cy="466725"/>
                <wp:effectExtent l="381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25DF" w:rsidRDefault="00A825DF" w:rsidP="00A825DF">
                            <w:pPr>
                              <w:jc w:val="center"/>
                              <w:rPr>
                                <w:b/>
                                <w:bCs/>
                                <w:color w:val="002060"/>
                                <w:sz w:val="44"/>
                                <w:szCs w:val="40"/>
                              </w:rPr>
                            </w:pPr>
                            <w:r>
                              <w:t xml:space="preserve">   </w:t>
                            </w:r>
                            <w:r>
                              <w:rPr>
                                <w:b/>
                                <w:bCs/>
                                <w:color w:val="002060"/>
                                <w:sz w:val="44"/>
                                <w:szCs w:val="40"/>
                              </w:rPr>
                              <w:t>Assignment Cover Sheet</w:t>
                            </w:r>
                          </w:p>
                          <w:p w:rsidR="00A825DF" w:rsidRDefault="00A825DF" w:rsidP="00A825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227.55pt;margin-top:7.85pt;width:245.2pt;height:3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ovggIAABE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NV6Oi+C&#10;AgAAEQUAAA4AAAAAAAAAAAAAAAAALgIAAGRycy9lMm9Eb2MueG1sUEsBAi0AFAAGAAgAAAAhACnE&#10;2FvdAAAACQEAAA8AAAAAAAAAAAAAAAAA3AQAAGRycy9kb3ducmV2LnhtbFBLBQYAAAAABAAEAPMA&#10;AADmBQAAAAA=&#10;" stroked="f">
                <v:textbox>
                  <w:txbxContent>
                    <w:p w:rsidR="00A825DF" w:rsidRDefault="00A825DF" w:rsidP="00A825DF">
                      <w:pPr>
                        <w:jc w:val="center"/>
                        <w:rPr>
                          <w:b/>
                          <w:bCs/>
                          <w:color w:val="002060"/>
                          <w:sz w:val="44"/>
                          <w:szCs w:val="40"/>
                        </w:rPr>
                      </w:pPr>
                      <w:r>
                        <w:t xml:space="preserve">   </w:t>
                      </w:r>
                      <w:r>
                        <w:rPr>
                          <w:b/>
                          <w:bCs/>
                          <w:color w:val="002060"/>
                          <w:sz w:val="44"/>
                          <w:szCs w:val="40"/>
                        </w:rPr>
                        <w:t>Assignment Cover Sheet</w:t>
                      </w:r>
                    </w:p>
                    <w:p w:rsidR="00A825DF" w:rsidRDefault="00A825DF" w:rsidP="00A825DF"/>
                  </w:txbxContent>
                </v:textbox>
              </v:shape>
            </w:pict>
          </mc:Fallback>
        </mc:AlternateContent>
      </w:r>
    </w:p>
    <w:p w:rsidR="00A825DF" w:rsidRDefault="00A825DF" w:rsidP="00A825DF">
      <w:pPr>
        <w:rPr>
          <w:lang w:val="en-US"/>
        </w:rPr>
      </w:pPr>
    </w:p>
    <w:p w:rsidR="00A825DF" w:rsidRDefault="00A825DF" w:rsidP="00A825DF">
      <w:pPr>
        <w:rPr>
          <w:lang w:val="en-US"/>
        </w:rPr>
      </w:pPr>
    </w:p>
    <w:p w:rsidR="00A825DF" w:rsidRDefault="00A825DF" w:rsidP="00A825DF">
      <w:pPr>
        <w:rPr>
          <w:lang w:val="en-US"/>
        </w:rPr>
      </w:pPr>
    </w:p>
    <w:tbl>
      <w:tblPr>
        <w:tblStyle w:val="TableGrid"/>
        <w:tblW w:w="0" w:type="auto"/>
        <w:tblLook w:val="04A0" w:firstRow="1" w:lastRow="0" w:firstColumn="1" w:lastColumn="0" w:noHBand="0" w:noVBand="1"/>
      </w:tblPr>
      <w:tblGrid>
        <w:gridCol w:w="2566"/>
        <w:gridCol w:w="6676"/>
      </w:tblGrid>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A825DF" w:rsidP="00AE376A">
            <w:pPr>
              <w:pStyle w:val="Default"/>
              <w:rPr>
                <w:rFonts w:asciiTheme="minorHAnsi" w:hAnsiTheme="minorHAnsi"/>
              </w:rPr>
            </w:pPr>
            <w:r>
              <w:rPr>
                <w:rFonts w:asciiTheme="minorHAnsi" w:hAnsiTheme="minorHAnsi"/>
              </w:rPr>
              <w:t>Stuart Clark</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25DF" w:rsidRPr="00B0415E" w:rsidRDefault="00A825DF" w:rsidP="00AE376A">
            <w:pPr>
              <w:pStyle w:val="Default"/>
              <w:rPr>
                <w:rFonts w:asciiTheme="minorHAnsi" w:hAnsiTheme="minorHAnsi"/>
              </w:rPr>
            </w:pPr>
            <w:r w:rsidRPr="00607719">
              <w:rPr>
                <w:rFonts w:asciiTheme="minorHAnsi" w:hAnsiTheme="minorHAnsi"/>
              </w:rPr>
              <w:t>28519</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A825DF" w:rsidP="00AE376A">
            <w:pPr>
              <w:pStyle w:val="Default"/>
              <w:rPr>
                <w:rFonts w:asciiTheme="minorHAnsi" w:hAnsiTheme="minorHAnsi"/>
              </w:rPr>
            </w:pPr>
            <w:r w:rsidRPr="00607719">
              <w:rPr>
                <w:rFonts w:asciiTheme="minorHAnsi" w:hAnsiTheme="minorHAnsi"/>
              </w:rPr>
              <w:t>Certificate in Environmental Management Level 3</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B57C16" w:rsidP="00AE376A">
            <w:r>
              <w:t>3</w:t>
            </w:r>
          </w:p>
        </w:tc>
      </w:tr>
    </w:tbl>
    <w:p w:rsidR="00A825DF" w:rsidRDefault="00A825DF" w:rsidP="00A825DF">
      <w:pPr>
        <w:rPr>
          <w:b/>
          <w:lang w:val="en-US"/>
        </w:rPr>
      </w:pPr>
    </w:p>
    <w:p w:rsidR="00A825DF" w:rsidRDefault="00A825DF" w:rsidP="00A825DF">
      <w:pPr>
        <w:rPr>
          <w:b/>
          <w:sz w:val="28"/>
          <w:lang w:val="en-US"/>
        </w:rPr>
      </w:pPr>
      <w:r w:rsidRPr="00443E6F">
        <w:rPr>
          <w:b/>
          <w:sz w:val="28"/>
          <w:lang w:val="en-US"/>
        </w:rPr>
        <w:t>Marking Criteria:</w:t>
      </w:r>
      <w:bookmarkStart w:id="0" w:name="_GoBack"/>
      <w:bookmarkEnd w:id="0"/>
    </w:p>
    <w:p w:rsidR="00A825DF" w:rsidRDefault="00A825DF" w:rsidP="00A825D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825DF" w:rsidRPr="00443E6F" w:rsidRDefault="00A825DF" w:rsidP="00A825D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111" w:type="dxa"/>
        <w:tblLook w:val="04A0" w:firstRow="1" w:lastRow="0" w:firstColumn="1" w:lastColumn="0" w:noHBand="0" w:noVBand="1"/>
      </w:tblPr>
      <w:tblGrid>
        <w:gridCol w:w="9111"/>
      </w:tblGrid>
      <w:tr w:rsidR="00A825DF" w:rsidTr="00CC6D74">
        <w:trPr>
          <w:trHeight w:val="3287"/>
        </w:trPr>
        <w:tc>
          <w:tcPr>
            <w:tcW w:w="9111" w:type="dxa"/>
          </w:tcPr>
          <w:p w:rsidR="00A825DF" w:rsidRDefault="00A825DF" w:rsidP="00AE376A">
            <w:pPr>
              <w:rPr>
                <w:b/>
              </w:rPr>
            </w:pPr>
          </w:p>
        </w:tc>
      </w:tr>
    </w:tbl>
    <w:p w:rsidR="00A825DF" w:rsidRPr="00B0415E" w:rsidRDefault="00A825DF" w:rsidP="00A825DF">
      <w:pPr>
        <w:autoSpaceDE w:val="0"/>
        <w:autoSpaceDN w:val="0"/>
        <w:adjustRightInd w:val="0"/>
        <w:spacing w:after="0" w:line="240" w:lineRule="auto"/>
        <w:rPr>
          <w:rFonts w:cs="CalvertMT-Bold"/>
          <w:b/>
          <w:bCs/>
          <w:color w:val="002060"/>
          <w:sz w:val="28"/>
          <w:lang w:val="en-US"/>
        </w:rPr>
      </w:pPr>
    </w:p>
    <w:p w:rsidR="00A825DF" w:rsidRPr="00B0415E" w:rsidRDefault="00A825DF" w:rsidP="00A825D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825DF" w:rsidRPr="00B0415E" w:rsidRDefault="00A825DF" w:rsidP="00A825DF">
      <w:pPr>
        <w:autoSpaceDE w:val="0"/>
        <w:autoSpaceDN w:val="0"/>
        <w:adjustRightInd w:val="0"/>
        <w:spacing w:after="0" w:line="240" w:lineRule="auto"/>
        <w:rPr>
          <w:rFonts w:cs="CalvertMT-Bold"/>
          <w:b/>
          <w:bCs/>
          <w:color w:val="001AE6"/>
          <w:lang w:val="en-US"/>
        </w:rPr>
      </w:pPr>
    </w:p>
    <w:p w:rsidR="00A825DF" w:rsidRPr="00B0415E" w:rsidRDefault="00A825DF" w:rsidP="00A825D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25DF" w:rsidRPr="00B0415E" w:rsidRDefault="00A825DF" w:rsidP="00A825DF">
      <w:pPr>
        <w:autoSpaceDE w:val="0"/>
        <w:autoSpaceDN w:val="0"/>
        <w:adjustRightInd w:val="0"/>
        <w:spacing w:after="0" w:line="240" w:lineRule="auto"/>
        <w:rPr>
          <w:rFonts w:cs="Bliss-Regular"/>
          <w:color w:val="000000"/>
          <w:lang w:val="en-US"/>
        </w:rPr>
      </w:pPr>
    </w:p>
    <w:p w:rsidR="00A825DF" w:rsidRPr="00B0415E" w:rsidRDefault="00A825DF" w:rsidP="00A825DF">
      <w:pPr>
        <w:autoSpaceDE w:val="0"/>
        <w:autoSpaceDN w:val="0"/>
        <w:adjustRightInd w:val="0"/>
        <w:spacing w:after="0" w:line="240" w:lineRule="auto"/>
        <w:rPr>
          <w:rFonts w:cs="Bliss-Regular"/>
          <w:color w:val="000000"/>
          <w:lang w:val="en-US"/>
        </w:rPr>
      </w:pPr>
    </w:p>
    <w:p w:rsidR="00A825DF" w:rsidRPr="00B0415E" w:rsidRDefault="00A825DF" w:rsidP="00A825D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825DF" w:rsidRPr="00B0415E" w:rsidTr="00AE376A">
        <w:tc>
          <w:tcPr>
            <w:tcW w:w="2310" w:type="dxa"/>
            <w:shd w:val="clear" w:color="auto" w:fill="D9D9D9" w:themeFill="background1" w:themeFillShade="D9"/>
          </w:tcPr>
          <w:p w:rsidR="00A825DF" w:rsidRPr="00B0415E" w:rsidRDefault="00A825DF" w:rsidP="00AE376A">
            <w:pPr>
              <w:rPr>
                <w:rFonts w:cs="Bliss-Regular"/>
                <w:color w:val="000000"/>
              </w:rPr>
            </w:pPr>
            <w:r w:rsidRPr="00B0415E">
              <w:rPr>
                <w:rFonts w:cs="Bliss-Regular"/>
                <w:color w:val="000000"/>
              </w:rPr>
              <w:t>Student Signature</w:t>
            </w:r>
          </w:p>
        </w:tc>
        <w:tc>
          <w:tcPr>
            <w:tcW w:w="4035" w:type="dxa"/>
          </w:tcPr>
          <w:p w:rsidR="00A825DF" w:rsidRPr="00B0415E" w:rsidRDefault="00A825DF" w:rsidP="00AE376A">
            <w:pPr>
              <w:rPr>
                <w:rFonts w:cs="Bliss-Regular"/>
                <w:color w:val="000000"/>
              </w:rPr>
            </w:pPr>
            <w:r>
              <w:rPr>
                <w:rFonts w:cs="Bliss-Regular"/>
                <w:color w:val="000000"/>
              </w:rPr>
              <w:t>Stuart Clark</w:t>
            </w:r>
          </w:p>
        </w:tc>
        <w:tc>
          <w:tcPr>
            <w:tcW w:w="1276" w:type="dxa"/>
            <w:shd w:val="clear" w:color="auto" w:fill="D9D9D9" w:themeFill="background1" w:themeFillShade="D9"/>
          </w:tcPr>
          <w:p w:rsidR="00A825DF" w:rsidRPr="00B0415E" w:rsidRDefault="00A825DF" w:rsidP="00AE376A">
            <w:pPr>
              <w:rPr>
                <w:rFonts w:cs="Bliss-Regular"/>
                <w:color w:val="000000"/>
              </w:rPr>
            </w:pPr>
            <w:r w:rsidRPr="00B0415E">
              <w:rPr>
                <w:rFonts w:cs="Bliss-Regular"/>
                <w:color w:val="000000"/>
              </w:rPr>
              <w:t>Date</w:t>
            </w:r>
          </w:p>
        </w:tc>
        <w:tc>
          <w:tcPr>
            <w:tcW w:w="1621" w:type="dxa"/>
          </w:tcPr>
          <w:p w:rsidR="00A825DF" w:rsidRPr="00B0415E" w:rsidRDefault="00B57C16" w:rsidP="00B57C16">
            <w:pPr>
              <w:rPr>
                <w:rFonts w:cs="Bliss-Regular"/>
                <w:color w:val="000000"/>
              </w:rPr>
            </w:pPr>
            <w:r>
              <w:rPr>
                <w:rFonts w:cs="Bliss-Regular"/>
                <w:color w:val="000000"/>
              </w:rPr>
              <w:t>26</w:t>
            </w:r>
            <w:r w:rsidR="009A6E5E">
              <w:rPr>
                <w:rFonts w:cs="Bliss-Regular"/>
                <w:color w:val="000000"/>
              </w:rPr>
              <w:t>/0</w:t>
            </w:r>
            <w:r>
              <w:rPr>
                <w:rFonts w:cs="Bliss-Regular"/>
                <w:color w:val="000000"/>
              </w:rPr>
              <w:t>3</w:t>
            </w:r>
            <w:r w:rsidR="009A6E5E">
              <w:rPr>
                <w:rFonts w:cs="Bliss-Regular"/>
                <w:color w:val="000000"/>
              </w:rPr>
              <w:t>/19</w:t>
            </w:r>
          </w:p>
        </w:tc>
      </w:tr>
    </w:tbl>
    <w:p w:rsidR="00A825DF" w:rsidRPr="00B0415E" w:rsidRDefault="00A825DF" w:rsidP="00A825DF">
      <w:pPr>
        <w:rPr>
          <w:rFonts w:cs="Bliss-Regular"/>
          <w:color w:val="000000"/>
          <w:lang w:val="en-US"/>
        </w:rPr>
      </w:pPr>
    </w:p>
    <w:p w:rsidR="00A825DF" w:rsidRPr="00B0415E" w:rsidRDefault="00A825DF" w:rsidP="00A825D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825DF" w:rsidRPr="00B0415E" w:rsidTr="00AE376A">
        <w:trPr>
          <w:trHeight w:val="249"/>
        </w:trPr>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Total Marks</w:t>
            </w:r>
          </w:p>
        </w:tc>
        <w:tc>
          <w:tcPr>
            <w:tcW w:w="4621" w:type="dxa"/>
          </w:tcPr>
          <w:p w:rsidR="00A825DF" w:rsidRPr="00B0415E" w:rsidRDefault="00A825DF" w:rsidP="00AE376A">
            <w:pPr>
              <w:rPr>
                <w:rFonts w:cs="Times New Roman"/>
                <w:szCs w:val="32"/>
              </w:rPr>
            </w:pPr>
          </w:p>
        </w:tc>
      </w:tr>
      <w:tr w:rsidR="00A825DF" w:rsidRPr="00B0415E" w:rsidTr="00AE376A">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Marks Obtained</w:t>
            </w:r>
          </w:p>
        </w:tc>
        <w:tc>
          <w:tcPr>
            <w:tcW w:w="4621" w:type="dxa"/>
          </w:tcPr>
          <w:p w:rsidR="00A825DF" w:rsidRPr="00B0415E" w:rsidRDefault="00A825DF" w:rsidP="00AE376A">
            <w:pPr>
              <w:rPr>
                <w:rFonts w:cs="Times New Roman"/>
                <w:szCs w:val="32"/>
              </w:rPr>
            </w:pPr>
          </w:p>
        </w:tc>
      </w:tr>
      <w:tr w:rsidR="00A825DF" w:rsidRPr="00B0415E" w:rsidTr="00AE376A">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Percentage / Grade</w:t>
            </w:r>
          </w:p>
        </w:tc>
        <w:tc>
          <w:tcPr>
            <w:tcW w:w="4621" w:type="dxa"/>
          </w:tcPr>
          <w:p w:rsidR="00A825DF" w:rsidRPr="00B0415E" w:rsidRDefault="00A825DF" w:rsidP="00AE376A">
            <w:pPr>
              <w:rPr>
                <w:rFonts w:cs="Times New Roman"/>
                <w:szCs w:val="32"/>
              </w:rPr>
            </w:pPr>
          </w:p>
        </w:tc>
      </w:tr>
    </w:tbl>
    <w:p w:rsidR="00A825DF" w:rsidRDefault="00A825DF" w:rsidP="00A825DF">
      <w:pPr>
        <w:rPr>
          <w:rFonts w:cs="Times New Roman"/>
          <w:szCs w:val="32"/>
        </w:rPr>
      </w:pPr>
    </w:p>
    <w:p w:rsidR="0058304A" w:rsidRDefault="0058304A" w:rsidP="0058304A">
      <w:pPr>
        <w:pStyle w:val="ListParagraph"/>
        <w:ind w:left="360"/>
      </w:pPr>
    </w:p>
    <w:p w:rsidR="001F60A1" w:rsidRDefault="001F60A1" w:rsidP="001F60A1">
      <w:pPr>
        <w:pStyle w:val="ListParagraph"/>
        <w:ind w:left="360"/>
      </w:pPr>
    </w:p>
    <w:p w:rsidR="001F60A1" w:rsidRDefault="001F60A1" w:rsidP="001F60A1">
      <w:pPr>
        <w:pStyle w:val="ListParagraph"/>
        <w:ind w:left="360"/>
      </w:pPr>
    </w:p>
    <w:p w:rsidR="00B57C16" w:rsidRDefault="00B57C16" w:rsidP="00B57C16">
      <w:pPr>
        <w:pStyle w:val="ListParagraph"/>
        <w:numPr>
          <w:ilvl w:val="0"/>
          <w:numId w:val="8"/>
        </w:numPr>
      </w:pPr>
      <w:r>
        <w:t xml:space="preserve">The Environmental Regulatory Frameworks in the UK, as described by </w:t>
      </w:r>
      <w:r w:rsidRPr="00551DE1">
        <w:t xml:space="preserve">Coxall </w:t>
      </w:r>
      <w:r>
        <w:t>&amp;</w:t>
      </w:r>
      <w:r w:rsidRPr="00551DE1">
        <w:t xml:space="preserve"> Hardacre</w:t>
      </w:r>
      <w:r>
        <w:t xml:space="preserve"> (2013), are key pieces of environmental legislation which for the most part originate from EU law. These are either implemented directly or through national legislation. </w:t>
      </w:r>
      <w:r w:rsidRPr="007B5641">
        <w:t>The Environmental Protection Act 1990</w:t>
      </w:r>
      <w:r>
        <w:t xml:space="preserve"> made provision for the improved control of pollution to the air, water and land by regulating the management of waste and the control of emissions (Cobwell, 2016). The Act applies in England, Scotland and Wales for Northern Ireland, the main provisions of the Act are enclosed in the Waste and Contaminated Land (Northern Ireland) Order 1997. Since the passing of this act several elements have been superseded with new pieces of legislation</w:t>
      </w:r>
      <w:r>
        <w:rPr>
          <w:noProof/>
        </w:rPr>
        <w:t xml:space="preserve"> </w:t>
      </w:r>
      <w:r w:rsidRPr="00CB6096">
        <w:rPr>
          <w:noProof/>
        </w:rPr>
        <w:t>(Coxall &amp; Hardacre, 201</w:t>
      </w:r>
      <w:r>
        <w:rPr>
          <w:noProof/>
        </w:rPr>
        <w:t>3</w:t>
      </w:r>
      <w:r w:rsidRPr="00CB6096">
        <w:rPr>
          <w:noProof/>
        </w:rPr>
        <w:t>)</w:t>
      </w:r>
      <w:r>
        <w:t>.</w:t>
      </w:r>
    </w:p>
    <w:p w:rsidR="00B57C16" w:rsidRDefault="00B57C16" w:rsidP="00B57C16">
      <w:pPr>
        <w:ind w:left="360"/>
      </w:pPr>
      <w:r>
        <w:t>On the whole for the United Kingdom the key environmental regimes can be considered as:</w:t>
      </w:r>
    </w:p>
    <w:p w:rsidR="00B57C16" w:rsidRDefault="00B57C16" w:rsidP="00B57C16">
      <w:pPr>
        <w:pStyle w:val="ListParagraph"/>
        <w:numPr>
          <w:ilvl w:val="0"/>
          <w:numId w:val="9"/>
        </w:numPr>
      </w:pPr>
      <w:r>
        <w:t>Environmental Permitting Regime (EPR), combining the pollution prevention and control (PPC) regime and waste management licensing and industrial emissions</w:t>
      </w:r>
    </w:p>
    <w:p w:rsidR="00B57C16" w:rsidRDefault="00B57C16" w:rsidP="00B57C16">
      <w:pPr>
        <w:pStyle w:val="ListParagraph"/>
        <w:numPr>
          <w:ilvl w:val="0"/>
          <w:numId w:val="9"/>
        </w:numPr>
      </w:pPr>
      <w:r>
        <w:t>Water</w:t>
      </w:r>
    </w:p>
    <w:p w:rsidR="00B57C16" w:rsidRDefault="00B57C16" w:rsidP="00B57C16">
      <w:pPr>
        <w:pStyle w:val="ListParagraph"/>
        <w:numPr>
          <w:ilvl w:val="0"/>
          <w:numId w:val="9"/>
        </w:numPr>
      </w:pPr>
      <w:r>
        <w:t>Waste (in relation to aspects not dealt with under EPR)</w:t>
      </w:r>
    </w:p>
    <w:p w:rsidR="00B57C16" w:rsidRDefault="00B57C16" w:rsidP="00B57C16">
      <w:pPr>
        <w:pStyle w:val="ListParagraph"/>
        <w:numPr>
          <w:ilvl w:val="0"/>
          <w:numId w:val="9"/>
        </w:numPr>
      </w:pPr>
      <w:r>
        <w:t>Contaminated land</w:t>
      </w:r>
    </w:p>
    <w:p w:rsidR="00B57C16" w:rsidRDefault="00B57C16" w:rsidP="00B57C16">
      <w:pPr>
        <w:pStyle w:val="ListParagraph"/>
        <w:numPr>
          <w:ilvl w:val="0"/>
          <w:numId w:val="9"/>
        </w:numPr>
      </w:pPr>
      <w:r>
        <w:t>Conservation of nature, wildlife and habitats.</w:t>
      </w:r>
    </w:p>
    <w:p w:rsidR="00B57C16" w:rsidRDefault="00B57C16" w:rsidP="00B57C16">
      <w:pPr>
        <w:pStyle w:val="ListParagraph"/>
        <w:numPr>
          <w:ilvl w:val="0"/>
          <w:numId w:val="9"/>
        </w:numPr>
      </w:pPr>
      <w:r>
        <w:t>Environmental impact assessments (EIAs)</w:t>
      </w:r>
    </w:p>
    <w:p w:rsidR="00B57C16" w:rsidRDefault="00B57C16" w:rsidP="00B57C16">
      <w:pPr>
        <w:ind w:left="360"/>
      </w:pPr>
      <w:r>
        <w:t xml:space="preserve">For environmental legislation in England, and on some matters in Wales, the UK government legislates via the Environment Agency (EA) </w:t>
      </w:r>
      <w:sdt>
        <w:sdtPr>
          <w:id w:val="75643120"/>
          <w:citation/>
        </w:sdtPr>
        <w:sdtContent>
          <w:r>
            <w:fldChar w:fldCharType="begin"/>
          </w:r>
          <w:r>
            <w:instrText xml:space="preserve"> CITATION Cob17 \l 2057 </w:instrText>
          </w:r>
          <w:r>
            <w:fldChar w:fldCharType="separate"/>
          </w:r>
          <w:r w:rsidRPr="00581B8B">
            <w:rPr>
              <w:noProof/>
            </w:rPr>
            <w:t>(Cobweb, 2017)</w:t>
          </w:r>
          <w:r>
            <w:fldChar w:fldCharType="end"/>
          </w:r>
        </w:sdtContent>
      </w:sdt>
      <w:r>
        <w:t>. For all remaining matters in Wales the National Assembly for Wales have powers to passes legislation (</w:t>
      </w:r>
      <w:r w:rsidRPr="00551DE1">
        <w:t xml:space="preserve">Coxall </w:t>
      </w:r>
      <w:r>
        <w:t>&amp;</w:t>
      </w:r>
      <w:r w:rsidRPr="00551DE1">
        <w:t xml:space="preserve"> Hardacre</w:t>
      </w:r>
      <w:r>
        <w:t>, 2013). These powers were appointed thorough the Natural Resources Body for Wales (Establishment) Order 2012, which appointed Natural Resources Wales (NRW) as the environmental regulator for Wales, replacing the EA. For Scotland and Northern Ireland legislation is provided by (Cobweb, 2017):</w:t>
      </w:r>
    </w:p>
    <w:p w:rsidR="00B57C16" w:rsidRDefault="00B57C16" w:rsidP="00B57C16">
      <w:pPr>
        <w:pStyle w:val="ListParagraph"/>
        <w:numPr>
          <w:ilvl w:val="0"/>
          <w:numId w:val="10"/>
        </w:numPr>
      </w:pPr>
      <w:r w:rsidRPr="00132627">
        <w:t>Scottish Environment Protection Agency (SEPA)</w:t>
      </w:r>
    </w:p>
    <w:p w:rsidR="00B57C16" w:rsidRPr="00132627" w:rsidRDefault="00B57C16" w:rsidP="00B57C16">
      <w:pPr>
        <w:pStyle w:val="ListParagraph"/>
        <w:numPr>
          <w:ilvl w:val="0"/>
          <w:numId w:val="10"/>
        </w:numPr>
        <w:rPr>
          <w:sz w:val="32"/>
        </w:rPr>
      </w:pPr>
      <w:r w:rsidRPr="00132627">
        <w:rPr>
          <w:rFonts w:cs="Arial"/>
          <w:color w:val="090909"/>
          <w:szCs w:val="21"/>
          <w:shd w:val="clear" w:color="auto" w:fill="FFFFFF"/>
        </w:rPr>
        <w:t>Northern Ireland Environment Agency (NIEA)</w:t>
      </w:r>
    </w:p>
    <w:p w:rsidR="00B57C16" w:rsidRDefault="00B57C16" w:rsidP="00B57C16">
      <w:pPr>
        <w:ind w:left="360"/>
        <w:contextualSpacing/>
      </w:pPr>
      <w:r>
        <w:t xml:space="preserve">The various parts of the </w:t>
      </w:r>
      <w:r w:rsidRPr="007B5641">
        <w:t>Environmental Protection Act 1990</w:t>
      </w:r>
      <w:r>
        <w:t xml:space="preserve"> and some the subsequent regulations can be found in figure 1 </w:t>
      </w:r>
      <w:r w:rsidR="0009397E">
        <w:t xml:space="preserve">on page 4 </w:t>
      </w:r>
      <w:r>
        <w:t>below.</w:t>
      </w: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58304A" w:rsidRDefault="0058304A" w:rsidP="00B57C16">
      <w:pPr>
        <w:ind w:left="360"/>
        <w:contextualSpacing/>
      </w:pPr>
    </w:p>
    <w:p w:rsidR="00B57C16" w:rsidRDefault="00B57C16" w:rsidP="00B57C16">
      <w:pPr>
        <w:pStyle w:val="ListParagraph"/>
        <w:numPr>
          <w:ilvl w:val="0"/>
          <w:numId w:val="8"/>
        </w:numPr>
      </w:pPr>
      <w:r w:rsidRPr="00661F22">
        <w:t>The Enviro</w:t>
      </w:r>
      <w:r>
        <w:t xml:space="preserve">nmental Permitting Regulations </w:t>
      </w:r>
      <w:r w:rsidRPr="00661F22">
        <w:t>(England and Wales) 201</w:t>
      </w:r>
      <w:r>
        <w:t xml:space="preserve">6 </w:t>
      </w:r>
      <w:r w:rsidRPr="00661F22">
        <w:t>came into force on 6 April 2008</w:t>
      </w:r>
      <w:r>
        <w:t xml:space="preserve"> </w:t>
      </w:r>
      <w:sdt>
        <w:sdtPr>
          <w:id w:val="-537124531"/>
          <w:citation/>
        </w:sdtPr>
        <w:sdtContent>
          <w:r>
            <w:fldChar w:fldCharType="begin"/>
          </w:r>
          <w:r>
            <w:instrText xml:space="preserve"> CITATION Cob17 \l 2057 </w:instrText>
          </w:r>
          <w:r>
            <w:fldChar w:fldCharType="separate"/>
          </w:r>
          <w:r w:rsidRPr="0089236D">
            <w:rPr>
              <w:noProof/>
            </w:rPr>
            <w:t>(Cobweb, 2017)</w:t>
          </w:r>
          <w:r>
            <w:fldChar w:fldCharType="end"/>
          </w:r>
        </w:sdtContent>
      </w:sdt>
      <w:r>
        <w:t xml:space="preserve"> and</w:t>
      </w:r>
      <w:r w:rsidRPr="00661F22">
        <w:t xml:space="preserve"> require regulators to control certain activities which could harm the environment or human health</w:t>
      </w:r>
      <w:r>
        <w:t>.</w:t>
      </w:r>
      <w:r w:rsidRPr="00501C19">
        <w:t xml:space="preserve"> </w:t>
      </w:r>
      <w:r>
        <w:t xml:space="preserve">For Scotland and Northern Ireland the appropriate regulations are: </w:t>
      </w:r>
    </w:p>
    <w:p w:rsidR="00B57C16" w:rsidRDefault="00B57C16" w:rsidP="00B57C16">
      <w:pPr>
        <w:pStyle w:val="ListParagraph"/>
        <w:ind w:left="360"/>
      </w:pPr>
    </w:p>
    <w:p w:rsidR="00B57C16" w:rsidRDefault="00B57C16" w:rsidP="00B57C16">
      <w:pPr>
        <w:pStyle w:val="ListParagraph"/>
        <w:numPr>
          <w:ilvl w:val="0"/>
          <w:numId w:val="11"/>
        </w:numPr>
      </w:pPr>
      <w:hyperlink r:id="rId10" w:tgtFrame="_blank" w:history="1">
        <w:r w:rsidRPr="0089236D">
          <w:t>Pollution Prevention and Control (Scotland) Regulations 2012</w:t>
        </w:r>
      </w:hyperlink>
      <w:r w:rsidRPr="00661F22">
        <w:t xml:space="preserve"> </w:t>
      </w:r>
    </w:p>
    <w:p w:rsidR="00B57C16" w:rsidRDefault="00B57C16" w:rsidP="00B57C16">
      <w:pPr>
        <w:pStyle w:val="ListParagraph"/>
        <w:numPr>
          <w:ilvl w:val="0"/>
          <w:numId w:val="11"/>
        </w:numPr>
      </w:pPr>
      <w:hyperlink r:id="rId11" w:tgtFrame="_blank" w:history="1">
        <w:r w:rsidRPr="0089236D">
          <w:t>Pollution Prevention and Control (Northern Ireland) Regulations 2003</w:t>
        </w:r>
      </w:hyperlink>
    </w:p>
    <w:p w:rsidR="00B57C16" w:rsidRDefault="00B57C16" w:rsidP="00B57C16">
      <w:pPr>
        <w:ind w:left="360"/>
      </w:pPr>
      <w:r w:rsidRPr="00501C19">
        <w:t>In 2007</w:t>
      </w:r>
      <w:r>
        <w:t xml:space="preserve"> (for England and Wales) </w:t>
      </w:r>
      <w:r w:rsidRPr="00501C19">
        <w:t>the Environmental Permitting Regulations (EPR) combined the Polluti</w:t>
      </w:r>
      <w:r>
        <w:t>on Prevention and Control (PPC),</w:t>
      </w:r>
      <w:r w:rsidRPr="00501C19">
        <w:t xml:space="preserve"> Waste Managem</w:t>
      </w:r>
      <w:r>
        <w:t>ent Licensing (WML) regulations and</w:t>
      </w:r>
      <w:r w:rsidRPr="00501C19">
        <w:t xml:space="preserve"> Local Air Pollution Control</w:t>
      </w:r>
      <w:r>
        <w:t xml:space="preserve"> (APIS, 2016). Any PPC permits and waste management licences issued prior to this date were automatically converted to Environmental permits. Subsequently England and Wales brought w</w:t>
      </w:r>
      <w:r w:rsidRPr="001B7601">
        <w:t>ater discharge, groundwater discharge and radioactive substance registration</w:t>
      </w:r>
      <w:r>
        <w:t>/</w:t>
      </w:r>
      <w:r w:rsidRPr="001B7601">
        <w:t xml:space="preserve"> authorisation under the EPR </w:t>
      </w:r>
      <w:r>
        <w:t xml:space="preserve">in 2010. </w:t>
      </w:r>
    </w:p>
    <w:p w:rsidR="00B57C16" w:rsidRDefault="00B57C16" w:rsidP="00B57C16">
      <w:pPr>
        <w:ind w:left="360"/>
      </w:pPr>
      <w:r>
        <w:t>In Scotland on the 1</w:t>
      </w:r>
      <w:r w:rsidRPr="003A7ADE">
        <w:rPr>
          <w:vertAlign w:val="superscript"/>
        </w:rPr>
        <w:t>st</w:t>
      </w:r>
      <w:r>
        <w:t xml:space="preserve"> of September 2018 the </w:t>
      </w:r>
      <w:r w:rsidRPr="003A7ADE">
        <w:t xml:space="preserve">Environmental Authorisations (Scotland) Regulations 2018 (EA(S)R) came into </w:t>
      </w:r>
      <w:r>
        <w:t xml:space="preserve">effect, these seek to provide an integrated framework, for the authorisation, procedural and enforcement arrangements regarding water, waste management, radioactive substances and </w:t>
      </w:r>
      <w:r w:rsidRPr="00A42236">
        <w:t>pollution prevention and control</w:t>
      </w:r>
      <w:r>
        <w:t xml:space="preserve"> currently only radioactive substances are covered (SEPA, 2019). Water related matters remain for the moment covered by </w:t>
      </w:r>
      <w:r w:rsidRPr="003375F4">
        <w:t>Water Environment (Controlled Activities) (Scotland) </w:t>
      </w:r>
      <w:hyperlink r:id="rId12" w:history="1">
        <w:r w:rsidRPr="003375F4">
          <w:t>Regulations 2011</w:t>
        </w:r>
      </w:hyperlink>
      <w:r>
        <w:t>.</w:t>
      </w:r>
    </w:p>
    <w:p w:rsidR="00B57C16" w:rsidRDefault="00B57C16" w:rsidP="00B57C16">
      <w:pPr>
        <w:ind w:left="360"/>
      </w:pPr>
      <w:r>
        <w:t>For Northern Ireland the appropriate regulations are</w:t>
      </w:r>
    </w:p>
    <w:p w:rsidR="00B57C16" w:rsidRDefault="00B57C16" w:rsidP="00B57C16">
      <w:pPr>
        <w:pStyle w:val="ListParagraph"/>
        <w:numPr>
          <w:ilvl w:val="0"/>
          <w:numId w:val="13"/>
        </w:numPr>
        <w:tabs>
          <w:tab w:val="left" w:pos="1576"/>
        </w:tabs>
      </w:pPr>
      <w:r w:rsidRPr="00A009D7">
        <w:t>The Radioactive Substances Act 1993 (Amendment) Regulations (Northern Ireland) 2011</w:t>
      </w:r>
    </w:p>
    <w:p w:rsidR="00B57C16" w:rsidRDefault="00B57C16" w:rsidP="00B57C16">
      <w:pPr>
        <w:pStyle w:val="ListParagraph"/>
        <w:numPr>
          <w:ilvl w:val="0"/>
          <w:numId w:val="13"/>
        </w:numPr>
        <w:tabs>
          <w:tab w:val="left" w:pos="1576"/>
        </w:tabs>
      </w:pPr>
      <w:r w:rsidRPr="00A009D7">
        <w:t xml:space="preserve">The Water (Northern Ireland) Order 1999 </w:t>
      </w:r>
    </w:p>
    <w:p w:rsidR="00B57C16" w:rsidRDefault="00B57C16" w:rsidP="00B57C16">
      <w:pPr>
        <w:pStyle w:val="ListParagraph"/>
        <w:tabs>
          <w:tab w:val="left" w:pos="1576"/>
        </w:tabs>
        <w:ind w:left="1080"/>
      </w:pPr>
    </w:p>
    <w:p w:rsidR="00B57C16" w:rsidRDefault="00B57C16" w:rsidP="00B57C16">
      <w:pPr>
        <w:ind w:left="360"/>
      </w:pPr>
      <w:r>
        <w:t xml:space="preserve">The Department for Environment Food and Rural Affairs list the activities regulated via the </w:t>
      </w:r>
      <w:r w:rsidRPr="00341DCD">
        <w:t>Environmental Permitting Regulations</w:t>
      </w:r>
      <w:r>
        <w:t xml:space="preserve"> as (DEFRA, 2013):</w:t>
      </w:r>
    </w:p>
    <w:p w:rsidR="00B57C16" w:rsidRDefault="00B57C16" w:rsidP="00B57C16">
      <w:pPr>
        <w:pStyle w:val="ListParagraph"/>
        <w:numPr>
          <w:ilvl w:val="0"/>
          <w:numId w:val="12"/>
        </w:numPr>
      </w:pPr>
      <w:r>
        <w:t>Activities or specified installations listed in Schedule 1 to the EPR.</w:t>
      </w:r>
    </w:p>
    <w:p w:rsidR="00B57C16" w:rsidRDefault="00B57C16" w:rsidP="00B57C16">
      <w:pPr>
        <w:pStyle w:val="ListParagraph"/>
        <w:numPr>
          <w:ilvl w:val="0"/>
          <w:numId w:val="12"/>
        </w:numPr>
      </w:pPr>
      <w:r>
        <w:t>Waste operations.</w:t>
      </w:r>
    </w:p>
    <w:p w:rsidR="00B57C16" w:rsidRDefault="00B57C16" w:rsidP="00B57C16">
      <w:pPr>
        <w:pStyle w:val="ListParagraph"/>
        <w:numPr>
          <w:ilvl w:val="0"/>
          <w:numId w:val="12"/>
        </w:numPr>
      </w:pPr>
      <w:r>
        <w:t>Mobile plant used to conduct either one of the Schedule 1 activities or a waste action</w:t>
      </w:r>
    </w:p>
    <w:p w:rsidR="00B57C16" w:rsidRDefault="00B57C16" w:rsidP="00B57C16">
      <w:pPr>
        <w:pStyle w:val="ListParagraph"/>
        <w:numPr>
          <w:ilvl w:val="0"/>
          <w:numId w:val="12"/>
        </w:numPr>
      </w:pPr>
      <w:r>
        <w:t>Mining waste operations.</w:t>
      </w:r>
    </w:p>
    <w:p w:rsidR="00B57C16" w:rsidRDefault="00B57C16" w:rsidP="00B57C16">
      <w:pPr>
        <w:pStyle w:val="ListParagraph"/>
        <w:numPr>
          <w:ilvl w:val="0"/>
          <w:numId w:val="12"/>
        </w:numPr>
      </w:pPr>
      <w:r>
        <w:t>Water discharge activities.</w:t>
      </w:r>
    </w:p>
    <w:p w:rsidR="00B57C16" w:rsidRDefault="00B57C16" w:rsidP="00B57C16">
      <w:pPr>
        <w:pStyle w:val="ListParagraph"/>
        <w:numPr>
          <w:ilvl w:val="0"/>
          <w:numId w:val="12"/>
        </w:numPr>
      </w:pPr>
      <w:r>
        <w:t>Radioactive substance activities.</w:t>
      </w:r>
    </w:p>
    <w:p w:rsidR="00B57C16" w:rsidRDefault="00B57C16" w:rsidP="00B57C16">
      <w:pPr>
        <w:pStyle w:val="ListParagraph"/>
        <w:numPr>
          <w:ilvl w:val="0"/>
          <w:numId w:val="12"/>
        </w:numPr>
      </w:pPr>
      <w:r>
        <w:t>Groundwater activities.</w:t>
      </w:r>
    </w:p>
    <w:p w:rsidR="00B57C16" w:rsidRDefault="00B57C16" w:rsidP="00B57C16">
      <w:pPr>
        <w:pStyle w:val="ListParagraph"/>
        <w:numPr>
          <w:ilvl w:val="0"/>
          <w:numId w:val="12"/>
        </w:numPr>
      </w:pPr>
      <w:r>
        <w:t>Small waste incineration plants.</w:t>
      </w:r>
    </w:p>
    <w:p w:rsidR="00B57C16" w:rsidRDefault="00B57C16" w:rsidP="00B57C16">
      <w:pPr>
        <w:pStyle w:val="ListParagraph"/>
        <w:numPr>
          <w:ilvl w:val="0"/>
          <w:numId w:val="12"/>
        </w:numPr>
      </w:pPr>
      <w:r>
        <w:t>Solvent emission activities.</w:t>
      </w:r>
    </w:p>
    <w:p w:rsidR="0058304A" w:rsidRDefault="0058304A" w:rsidP="0058304A">
      <w:pPr>
        <w:pStyle w:val="ListParagraph"/>
        <w:ind w:left="1080"/>
      </w:pPr>
    </w:p>
    <w:p w:rsidR="0058304A" w:rsidRDefault="0058304A" w:rsidP="0058304A">
      <w:pPr>
        <w:pStyle w:val="ListParagraph"/>
        <w:ind w:left="1080"/>
      </w:pPr>
    </w:p>
    <w:p w:rsidR="001F60A1" w:rsidRDefault="001F60A1" w:rsidP="001F60A1">
      <w:pPr>
        <w:pStyle w:val="ListParagraph"/>
        <w:ind w:left="360"/>
      </w:pPr>
    </w:p>
    <w:p w:rsidR="00B57C16" w:rsidRDefault="00B57C16" w:rsidP="00B57C16">
      <w:pPr>
        <w:pStyle w:val="ListParagraph"/>
        <w:numPr>
          <w:ilvl w:val="0"/>
          <w:numId w:val="8"/>
        </w:numPr>
      </w:pPr>
      <w:r>
        <w:t>There are various legislation and regulations that cover the remediation of contaminated land in the UK. The two main pieces of legislation that cover this topic are:</w:t>
      </w:r>
    </w:p>
    <w:p w:rsidR="00B57C16" w:rsidRDefault="00B57C16" w:rsidP="00B57C16">
      <w:pPr>
        <w:pStyle w:val="ListParagraph"/>
        <w:numPr>
          <w:ilvl w:val="0"/>
          <w:numId w:val="15"/>
        </w:numPr>
      </w:pPr>
      <w:r w:rsidRPr="00470B36">
        <w:t>EU Environmental Liability Directive 2004/35/EC</w:t>
      </w:r>
    </w:p>
    <w:p w:rsidR="00B57C16" w:rsidRPr="00470B36" w:rsidRDefault="00B57C16" w:rsidP="00B57C16">
      <w:pPr>
        <w:pStyle w:val="ListParagraph"/>
        <w:numPr>
          <w:ilvl w:val="0"/>
          <w:numId w:val="15"/>
        </w:numPr>
      </w:pPr>
      <w:r>
        <w:t xml:space="preserve">The </w:t>
      </w:r>
      <w:r w:rsidRPr="00470B36">
        <w:rPr>
          <w:lang w:val="en-US"/>
        </w:rPr>
        <w:t>Environmental Protection Act 1990.</w:t>
      </w:r>
    </w:p>
    <w:p w:rsidR="00B57C16" w:rsidRDefault="00B57C16" w:rsidP="00B57C16">
      <w:pPr>
        <w:ind w:left="426"/>
      </w:pPr>
      <w:r>
        <w:t xml:space="preserve">The regulations that are relevant to the UK under the EU Directive and the Environmental Protection act are displayed in figure 2 on page </w:t>
      </w:r>
      <w:r w:rsidR="0009397E">
        <w:t>4</w:t>
      </w:r>
      <w:r>
        <w:t>.</w:t>
      </w:r>
    </w:p>
    <w:p w:rsidR="00B57C16" w:rsidRDefault="00B57C16" w:rsidP="00B57C16">
      <w:pPr>
        <w:ind w:left="426"/>
      </w:pPr>
      <w:r>
        <w:t>Currently the law seeks to identify the appropriate persons responsible for cleaning up contaminated land; UKELA (2019) suggests that in practice, it is common to address this matter at the time the land in question changes ownership and the law offers incentives to deal with this, such as:</w:t>
      </w:r>
    </w:p>
    <w:p w:rsidR="00B57C16" w:rsidRDefault="00B57C16" w:rsidP="00B57C16">
      <w:pPr>
        <w:pStyle w:val="ListParagraph"/>
        <w:numPr>
          <w:ilvl w:val="0"/>
          <w:numId w:val="16"/>
        </w:numPr>
      </w:pPr>
      <w:r>
        <w:t xml:space="preserve">If the appropriate person finances the purchaser to pay for the remediation of the land, providing that the sum offered is adequate then the person paying the money will discharge any future liability (UKELA, </w:t>
      </w:r>
      <w:r w:rsidRPr="00AD6290">
        <w:t>2019)</w:t>
      </w:r>
      <w:r>
        <w:t xml:space="preserve">. </w:t>
      </w:r>
    </w:p>
    <w:p w:rsidR="00B57C16" w:rsidRDefault="00B57C16" w:rsidP="00B57C16">
      <w:pPr>
        <w:pStyle w:val="ListParagraph"/>
        <w:numPr>
          <w:ilvl w:val="0"/>
          <w:numId w:val="16"/>
        </w:numPr>
      </w:pPr>
      <w:r>
        <w:t xml:space="preserve">If the seller informs the buyer of the presence of contamination and/or allows this to be inspected then they will be freed from any future liability (UKELA, </w:t>
      </w:r>
      <w:r w:rsidRPr="00AD6290">
        <w:t>2019</w:t>
      </w:r>
      <w:r>
        <w:t>).</w:t>
      </w:r>
    </w:p>
    <w:p w:rsidR="008178A6" w:rsidRDefault="00B57C16" w:rsidP="00B57C16">
      <w:pPr>
        <w:pStyle w:val="Bibliography"/>
        <w:ind w:left="360"/>
      </w:pPr>
      <w:r>
        <w:t>It is through these sorts of incentives that the law is endeavouring to have parties consider how to deal with historic pollution. In addition the current planning laws make provision for contaminated land remediation during re-development.</w:t>
      </w:r>
    </w:p>
    <w:p w:rsidR="00B57C16" w:rsidRDefault="00B57C16" w:rsidP="00B57C16"/>
    <w:p w:rsidR="00B57C16" w:rsidRDefault="00B57C16" w:rsidP="00B57C16"/>
    <w:p w:rsidR="00B57C16" w:rsidRDefault="00B57C16" w:rsidP="00B57C16"/>
    <w:p w:rsidR="00B57C16" w:rsidRDefault="00B57C16" w:rsidP="00B57C16"/>
    <w:p w:rsidR="00B57C16" w:rsidRDefault="00B57C16" w:rsidP="00B57C16"/>
    <w:p w:rsidR="00B57C16" w:rsidRDefault="00B57C16" w:rsidP="00B57C16">
      <w:pPr>
        <w:pStyle w:val="Bibliography"/>
      </w:pPr>
    </w:p>
    <w:p w:rsidR="005239F8" w:rsidRDefault="005239F8" w:rsidP="005239F8">
      <w:pPr>
        <w:sectPr w:rsidR="005239F8" w:rsidSect="0058304A">
          <w:headerReference w:type="default" r:id="rId13"/>
          <w:headerReference w:type="first" r:id="rId14"/>
          <w:pgSz w:w="11906" w:h="16838" w:code="9"/>
          <w:pgMar w:top="-851" w:right="1440" w:bottom="1440" w:left="1440" w:header="57" w:footer="709" w:gutter="0"/>
          <w:pgNumType w:start="0"/>
          <w:cols w:space="708"/>
          <w:titlePg/>
          <w:docGrid w:linePitch="360"/>
        </w:sectPr>
      </w:pPr>
    </w:p>
    <w:p w:rsidR="00074B0A" w:rsidRDefault="00074B0A" w:rsidP="0009397E">
      <w:pPr>
        <w:keepNext/>
        <w:tabs>
          <w:tab w:val="left" w:pos="14295"/>
        </w:tabs>
        <w:ind w:left="-567" w:right="1251"/>
      </w:pPr>
      <w:r>
        <w:object w:dxaOrig="15960" w:dyaOrig="3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6.75pt;height:167.25pt" o:ole="">
            <v:imagedata r:id="rId15" o:title=""/>
          </v:shape>
          <o:OLEObject Type="Embed" ProgID="Visio.Drawing.15" ShapeID="_x0000_i1025" DrawAspect="Content" ObjectID="_1615125770" r:id="rId16"/>
        </w:object>
      </w:r>
      <w:r w:rsidRPr="0009397E">
        <w:rPr>
          <w:b/>
          <w:bCs/>
          <w:color w:val="4F81BD" w:themeColor="accent1"/>
          <w:sz w:val="18"/>
          <w:szCs w:val="18"/>
        </w:rPr>
        <w:t xml:space="preserve">Figure </w:t>
      </w:r>
      <w:r w:rsidRPr="0009397E">
        <w:rPr>
          <w:b/>
          <w:bCs/>
          <w:color w:val="4F81BD" w:themeColor="accent1"/>
          <w:sz w:val="18"/>
          <w:szCs w:val="18"/>
        </w:rPr>
        <w:fldChar w:fldCharType="begin"/>
      </w:r>
      <w:r w:rsidRPr="0009397E">
        <w:rPr>
          <w:b/>
          <w:bCs/>
          <w:color w:val="4F81BD" w:themeColor="accent1"/>
          <w:sz w:val="18"/>
          <w:szCs w:val="18"/>
        </w:rPr>
        <w:instrText xml:space="preserve"> SEQ Figure \* ARABIC </w:instrText>
      </w:r>
      <w:r w:rsidRPr="0009397E">
        <w:rPr>
          <w:b/>
          <w:bCs/>
          <w:color w:val="4F81BD" w:themeColor="accent1"/>
          <w:sz w:val="18"/>
          <w:szCs w:val="18"/>
        </w:rPr>
        <w:fldChar w:fldCharType="separate"/>
      </w:r>
      <w:r w:rsidRPr="0009397E">
        <w:rPr>
          <w:b/>
          <w:bCs/>
          <w:color w:val="4F81BD" w:themeColor="accent1"/>
          <w:sz w:val="18"/>
          <w:szCs w:val="18"/>
        </w:rPr>
        <w:t>1</w:t>
      </w:r>
      <w:r w:rsidRPr="0009397E">
        <w:rPr>
          <w:b/>
          <w:bCs/>
          <w:color w:val="4F81BD" w:themeColor="accent1"/>
          <w:sz w:val="18"/>
          <w:szCs w:val="18"/>
        </w:rPr>
        <w:fldChar w:fldCharType="end"/>
      </w:r>
      <w:r w:rsidRPr="0009397E">
        <w:rPr>
          <w:b/>
          <w:bCs/>
          <w:color w:val="4F81BD" w:themeColor="accent1"/>
          <w:sz w:val="18"/>
          <w:szCs w:val="18"/>
        </w:rPr>
        <w:t xml:space="preserve"> Environmental Protection map (Clark, 2019)</w:t>
      </w:r>
    </w:p>
    <w:p w:rsidR="00074B0A" w:rsidRDefault="00074B0A" w:rsidP="00074B0A"/>
    <w:p w:rsidR="00074B0A" w:rsidRDefault="00074B0A" w:rsidP="00074B0A">
      <w:r>
        <w:tab/>
      </w:r>
      <w:r>
        <w:tab/>
      </w:r>
      <w:r>
        <w:tab/>
      </w:r>
      <w:r>
        <w:tab/>
      </w:r>
      <w:r>
        <w:tab/>
      </w:r>
      <w:r>
        <w:tab/>
      </w:r>
      <w:r>
        <w:tab/>
      </w:r>
      <w:r>
        <w:tab/>
      </w:r>
      <w:r>
        <w:tab/>
        <w:t xml:space="preserve">   </w:t>
      </w:r>
    </w:p>
    <w:p w:rsidR="00074B0A" w:rsidRDefault="00074B0A" w:rsidP="00074B0A">
      <w:pPr>
        <w:keepNext/>
      </w:pPr>
      <w:r>
        <w:t xml:space="preserve">  </w:t>
      </w:r>
      <w:r>
        <w:object w:dxaOrig="21466" w:dyaOrig="3406">
          <v:shape id="_x0000_i1026" type="#_x0000_t75" style="width:714pt;height:113.25pt" o:ole="">
            <v:imagedata r:id="rId17" o:title=""/>
          </v:shape>
          <o:OLEObject Type="Embed" ProgID="Visio.Drawing.15" ShapeID="_x0000_i1026" DrawAspect="Content" ObjectID="_1615125771" r:id="rId18"/>
        </w:object>
      </w:r>
    </w:p>
    <w:p w:rsidR="005239F8" w:rsidRDefault="00074B0A" w:rsidP="00074B0A">
      <w:pPr>
        <w:pStyle w:val="Caption"/>
        <w:sectPr w:rsidR="005239F8" w:rsidSect="001F60A1">
          <w:headerReference w:type="first" r:id="rId19"/>
          <w:pgSz w:w="16838" w:h="11906" w:orient="landscape" w:code="9"/>
          <w:pgMar w:top="69" w:right="244" w:bottom="1440" w:left="1440" w:header="0" w:footer="709" w:gutter="0"/>
          <w:cols w:space="708"/>
          <w:titlePg/>
          <w:docGrid w:linePitch="360"/>
        </w:sectPr>
      </w:pPr>
      <w:r>
        <w:t xml:space="preserve">Figure </w:t>
      </w:r>
      <w:r>
        <w:fldChar w:fldCharType="begin"/>
      </w:r>
      <w:r>
        <w:instrText xml:space="preserve"> SEQ Figure \* ARABIC </w:instrText>
      </w:r>
      <w:r>
        <w:fldChar w:fldCharType="separate"/>
      </w:r>
      <w:r>
        <w:t>2</w:t>
      </w:r>
      <w:r>
        <w:fldChar w:fldCharType="end"/>
      </w:r>
      <w:r>
        <w:t xml:space="preserve"> Contaminated L</w:t>
      </w:r>
      <w:r>
        <w:t>and Legislation (Clark, 2019)</w:t>
      </w:r>
    </w:p>
    <w:sdt>
      <w:sdtPr>
        <w:id w:val="-195463057"/>
        <w:docPartObj>
          <w:docPartGallery w:val="Bibliographies"/>
          <w:docPartUnique/>
        </w:docPartObj>
      </w:sdtPr>
      <w:sdtEndPr>
        <w:rPr>
          <w:rFonts w:ascii="Arial" w:eastAsiaTheme="minorHAnsi" w:hAnsi="Arial" w:cstheme="minorBidi"/>
          <w:b w:val="0"/>
          <w:bCs w:val="0"/>
          <w:color w:val="auto"/>
          <w:sz w:val="24"/>
          <w:szCs w:val="22"/>
        </w:rPr>
      </w:sdtEndPr>
      <w:sdtContent>
        <w:p w:rsidR="009F3255" w:rsidRDefault="009F3255" w:rsidP="00074B0A">
          <w:pPr>
            <w:pStyle w:val="Heading1"/>
          </w:pPr>
          <w:r>
            <w:t>Bibliography</w:t>
          </w:r>
        </w:p>
        <w:sdt>
          <w:sdtPr>
            <w:id w:val="111145805"/>
            <w:bibliography/>
          </w:sdtPr>
          <w:sdtContent>
            <w:p w:rsidR="009F3255" w:rsidRDefault="009F3255" w:rsidP="009F3255">
              <w:pPr>
                <w:pStyle w:val="Bibliography"/>
                <w:rPr>
                  <w:noProof/>
                </w:rPr>
              </w:pPr>
              <w:r>
                <w:fldChar w:fldCharType="begin"/>
              </w:r>
              <w:r>
                <w:instrText xml:space="preserve"> BIBLIOGRAPHY </w:instrText>
              </w:r>
              <w:r>
                <w:fldChar w:fldCharType="separate"/>
              </w:r>
              <w:r>
                <w:rPr>
                  <w:noProof/>
                </w:rPr>
                <w:t xml:space="preserve">Cobweb, 2017. </w:t>
              </w:r>
              <w:r>
                <w:rPr>
                  <w:i/>
                  <w:iCs/>
                  <w:noProof/>
                </w:rPr>
                <w:t xml:space="preserve">BIF100 · Environmental Regulations - An Introduction to, </w:t>
              </w:r>
              <w:r>
                <w:rPr>
                  <w:noProof/>
                </w:rPr>
                <w:t>Gateshead: s.n.</w:t>
              </w:r>
            </w:p>
            <w:p w:rsidR="009F3255" w:rsidRDefault="009F3255" w:rsidP="009F3255">
              <w:pPr>
                <w:pStyle w:val="Bibliography"/>
                <w:rPr>
                  <w:noProof/>
                </w:rPr>
              </w:pPr>
              <w:r>
                <w:rPr>
                  <w:noProof/>
                </w:rPr>
                <w:t xml:space="preserve">Coxall &amp; Hardacre, 2018. </w:t>
              </w:r>
              <w:r>
                <w:rPr>
                  <w:i/>
                  <w:iCs/>
                  <w:noProof/>
                </w:rPr>
                <w:t xml:space="preserve">Q&amp;A on Environmental Law in UK (England and Wales), </w:t>
              </w:r>
              <w:r>
                <w:rPr>
                  <w:noProof/>
                </w:rPr>
                <w:t>London: Clifford Chance LLP.</w:t>
              </w:r>
            </w:p>
            <w:p w:rsidR="009F3255" w:rsidRDefault="009F3255" w:rsidP="009F3255">
              <w:pPr>
                <w:pStyle w:val="Bibliography"/>
                <w:rPr>
                  <w:noProof/>
                </w:rPr>
              </w:pPr>
              <w:r>
                <w:rPr>
                  <w:noProof/>
                </w:rPr>
                <w:t xml:space="preserve">Crown, 2012. </w:t>
              </w:r>
              <w:r>
                <w:rPr>
                  <w:i/>
                  <w:iCs/>
                  <w:noProof/>
                </w:rPr>
                <w:t xml:space="preserve">The Pollution Prevention and Control (Scotland) Regulations 2012. </w:t>
              </w:r>
              <w:r>
                <w:rPr>
                  <w:noProof/>
                </w:rPr>
                <w:t>Norwich: TSO.</w:t>
              </w:r>
            </w:p>
            <w:p w:rsidR="009F3255" w:rsidRDefault="009F3255" w:rsidP="009F3255">
              <w:pPr>
                <w:pStyle w:val="Bibliography"/>
                <w:rPr>
                  <w:noProof/>
                </w:rPr>
              </w:pPr>
              <w:r>
                <w:rPr>
                  <w:noProof/>
                </w:rPr>
                <w:t xml:space="preserve">Das, P. K., 2016. An Introduction to the Concept of Environmental Management: Indian Context. </w:t>
              </w:r>
              <w:r>
                <w:rPr>
                  <w:i/>
                  <w:iCs/>
                  <w:noProof/>
                </w:rPr>
                <w:t xml:space="preserve">International Journal of Innovation and Economic Development, </w:t>
              </w:r>
              <w:r>
                <w:rPr>
                  <w:noProof/>
                </w:rPr>
                <w:t>2(4), pp. 25-34.</w:t>
              </w:r>
            </w:p>
            <w:p w:rsidR="009F3255" w:rsidRDefault="009F3255" w:rsidP="009F3255">
              <w:pPr>
                <w:pStyle w:val="Bibliography"/>
                <w:rPr>
                  <w:noProof/>
                </w:rPr>
              </w:pPr>
              <w:r>
                <w:rPr>
                  <w:noProof/>
                </w:rPr>
                <w:t xml:space="preserve">Dionis, A. et al., 2016. Implementation and Benefits of Environmental Management System. </w:t>
              </w:r>
              <w:r>
                <w:rPr>
                  <w:i/>
                  <w:iCs/>
                  <w:noProof/>
                </w:rPr>
                <w:t xml:space="preserve">Journal of Maritime Research, </w:t>
              </w:r>
              <w:r>
                <w:rPr>
                  <w:noProof/>
                </w:rPr>
                <w:t>Volume 13, pp. 77-81.</w:t>
              </w:r>
            </w:p>
            <w:p w:rsidR="009F3255" w:rsidRDefault="009F3255" w:rsidP="009F3255">
              <w:pPr>
                <w:pStyle w:val="Bibliography"/>
                <w:rPr>
                  <w:noProof/>
                </w:rPr>
              </w:pPr>
              <w:r>
                <w:rPr>
                  <w:noProof/>
                </w:rPr>
                <w:t xml:space="preserve">Epstein, M. J., 2016. </w:t>
              </w:r>
              <w:r>
                <w:rPr>
                  <w:i/>
                  <w:iCs/>
                  <w:noProof/>
                </w:rPr>
                <w:t xml:space="preserve">Making Sustainability Work: Best Practices in Managing and Measuring Corporate Social, Environmental, and Economic Impacts. </w:t>
              </w:r>
              <w:r>
                <w:rPr>
                  <w:noProof/>
                </w:rPr>
                <w:t>s.l.: Berrett-Koehler.</w:t>
              </w:r>
            </w:p>
            <w:p w:rsidR="009F3255" w:rsidRDefault="009F3255" w:rsidP="009F3255">
              <w:pPr>
                <w:pStyle w:val="Bibliography"/>
                <w:rPr>
                  <w:noProof/>
                </w:rPr>
              </w:pPr>
              <w:r>
                <w:rPr>
                  <w:noProof/>
                </w:rPr>
                <w:t xml:space="preserve">European Commission, 2019. </w:t>
              </w:r>
              <w:r>
                <w:rPr>
                  <w:i/>
                  <w:iCs/>
                  <w:noProof/>
                </w:rPr>
                <w:t xml:space="preserve">The European Commission. </w:t>
              </w:r>
              <w:r>
                <w:rPr>
                  <w:noProof/>
                </w:rPr>
                <w:t xml:space="preserve">[Online] </w:t>
              </w:r>
              <w:r>
                <w:rPr>
                  <w:noProof/>
                </w:rPr>
                <w:br/>
                <w:t xml:space="preserve">Available at: </w:t>
              </w:r>
              <w:r>
                <w:rPr>
                  <w:noProof/>
                  <w:u w:val="single"/>
                </w:rPr>
                <w:t>http://ec.europa.eu/environment/legal/liability/pdf/eld_ms_reports/UK.pdf</w:t>
              </w:r>
              <w:r>
                <w:rPr>
                  <w:noProof/>
                </w:rPr>
                <w:br/>
                <w:t>[Accessed 06 March 2019].</w:t>
              </w:r>
            </w:p>
            <w:p w:rsidR="009F3255" w:rsidRDefault="009F3255" w:rsidP="009F3255">
              <w:pPr>
                <w:pStyle w:val="Bibliography"/>
                <w:rPr>
                  <w:noProof/>
                </w:rPr>
              </w:pPr>
              <w:r>
                <w:rPr>
                  <w:noProof/>
                </w:rPr>
                <w:t xml:space="preserve">Hammar, M., 2019. </w:t>
              </w:r>
              <w:r>
                <w:rPr>
                  <w:i/>
                  <w:iCs/>
                  <w:noProof/>
                </w:rPr>
                <w:t xml:space="preserve">Plan-Do-Check-Act in the ISO 14001 standard, </w:t>
              </w:r>
              <w:r>
                <w:rPr>
                  <w:noProof/>
                </w:rPr>
                <w:t>s.l.: 14001 Academy .</w:t>
              </w:r>
            </w:p>
            <w:p w:rsidR="009F3255" w:rsidRDefault="009F3255" w:rsidP="009F3255">
              <w:pPr>
                <w:pStyle w:val="Bibliography"/>
                <w:rPr>
                  <w:noProof/>
                </w:rPr>
              </w:pPr>
              <w:r>
                <w:rPr>
                  <w:noProof/>
                </w:rPr>
                <w:t xml:space="preserve">International Organization for Standardization, 2018. </w:t>
              </w:r>
              <w:r>
                <w:rPr>
                  <w:i/>
                  <w:iCs/>
                  <w:noProof/>
                </w:rPr>
                <w:t xml:space="preserve">International Organization for Standardization. </w:t>
              </w:r>
              <w:r>
                <w:rPr>
                  <w:noProof/>
                </w:rPr>
                <w:t xml:space="preserve">[Online] </w:t>
              </w:r>
              <w:r>
                <w:rPr>
                  <w:noProof/>
                </w:rPr>
                <w:br/>
                <w:t xml:space="preserve">Available at: </w:t>
              </w:r>
              <w:r>
                <w:rPr>
                  <w:noProof/>
                  <w:u w:val="single"/>
                </w:rPr>
                <w:t>https://www.iso.org/about-us.html</w:t>
              </w:r>
              <w:r>
                <w:rPr>
                  <w:noProof/>
                </w:rPr>
                <w:br/>
                <w:t>[Accessed 23 January 2019].</w:t>
              </w:r>
            </w:p>
            <w:p w:rsidR="009F3255" w:rsidRDefault="009F3255" w:rsidP="009F3255">
              <w:pPr>
                <w:pStyle w:val="Bibliography"/>
                <w:rPr>
                  <w:noProof/>
                </w:rPr>
              </w:pPr>
              <w:r>
                <w:rPr>
                  <w:noProof/>
                </w:rPr>
                <w:t xml:space="preserve">K.A.CHANDRAKANTH, 2019. </w:t>
              </w:r>
              <w:r>
                <w:rPr>
                  <w:i/>
                  <w:iCs/>
                  <w:noProof/>
                </w:rPr>
                <w:t xml:space="preserve">Agile Alliance. </w:t>
              </w:r>
              <w:r>
                <w:rPr>
                  <w:noProof/>
                </w:rPr>
                <w:t xml:space="preserve">[Online] </w:t>
              </w:r>
              <w:r>
                <w:rPr>
                  <w:noProof/>
                </w:rPr>
                <w:br/>
                <w:t xml:space="preserve">Available at: </w:t>
              </w:r>
              <w:r>
                <w:rPr>
                  <w:noProof/>
                  <w:u w:val="single"/>
                </w:rPr>
                <w:t>https://www.agilealliance.org/wp-content/uploads/2016/01/PDCA.pdf</w:t>
              </w:r>
              <w:r>
                <w:rPr>
                  <w:noProof/>
                </w:rPr>
                <w:br/>
                <w:t>[Accessed Friday February 2019].</w:t>
              </w:r>
            </w:p>
            <w:p w:rsidR="009F3255" w:rsidRDefault="009F3255" w:rsidP="009F3255">
              <w:pPr>
                <w:pStyle w:val="Bibliography"/>
                <w:rPr>
                  <w:noProof/>
                </w:rPr>
              </w:pPr>
              <w:r>
                <w:rPr>
                  <w:noProof/>
                </w:rPr>
                <w:t xml:space="preserve">Kotze, L. &amp; JG, N., 2009. </w:t>
              </w:r>
              <w:r>
                <w:rPr>
                  <w:i/>
                  <w:iCs/>
                  <w:noProof/>
                </w:rPr>
                <w:t xml:space="preserve">Environmental management in South Africa. </w:t>
              </w:r>
              <w:r>
                <w:rPr>
                  <w:noProof/>
                </w:rPr>
                <w:t>2nd Edition ed. s.l.:s.n.</w:t>
              </w:r>
            </w:p>
            <w:p w:rsidR="009F3255" w:rsidRDefault="009F3255" w:rsidP="009F3255">
              <w:pPr>
                <w:pStyle w:val="Bibliography"/>
                <w:rPr>
                  <w:noProof/>
                </w:rPr>
              </w:pPr>
              <w:r>
                <w:rPr>
                  <w:noProof/>
                </w:rPr>
                <w:t xml:space="preserve">Lochner, P., 2005. </w:t>
              </w:r>
              <w:r>
                <w:rPr>
                  <w:i/>
                  <w:iCs/>
                  <w:noProof/>
                </w:rPr>
                <w:t xml:space="preserve">Guideline for Environmental Management Plans. CSIR Report No ENV-S-C. </w:t>
              </w:r>
              <w:r>
                <w:rPr>
                  <w:noProof/>
                </w:rPr>
                <w:t>Cape Town: Department of Environmental Affairs &amp; Development Planning.</w:t>
              </w:r>
            </w:p>
            <w:p w:rsidR="009F3255" w:rsidRDefault="009F3255" w:rsidP="009F3255">
              <w:pPr>
                <w:pStyle w:val="Bibliography"/>
                <w:rPr>
                  <w:noProof/>
                </w:rPr>
              </w:pPr>
              <w:r>
                <w:rPr>
                  <w:noProof/>
                </w:rPr>
                <w:t xml:space="preserve">Moen, R. &amp; Norman, C., 2006. </w:t>
              </w:r>
              <w:r>
                <w:rPr>
                  <w:i/>
                  <w:iCs/>
                  <w:noProof/>
                </w:rPr>
                <w:t xml:space="preserve">Evolution of the PDC, </w:t>
              </w:r>
              <w:r>
                <w:rPr>
                  <w:noProof/>
                </w:rPr>
                <w:t>s.l.: s.n.</w:t>
              </w:r>
            </w:p>
            <w:p w:rsidR="009F3255" w:rsidRDefault="009F3255" w:rsidP="009F3255">
              <w:pPr>
                <w:pStyle w:val="Bibliography"/>
                <w:rPr>
                  <w:noProof/>
                </w:rPr>
              </w:pPr>
              <w:r>
                <w:rPr>
                  <w:noProof/>
                </w:rPr>
                <w:t xml:space="preserve">Muttu, S. &amp; Nordin, N., 2016. PDCA CYCLE. </w:t>
              </w:r>
              <w:r>
                <w:rPr>
                  <w:i/>
                  <w:iCs/>
                  <w:noProof/>
                </w:rPr>
                <w:t xml:space="preserve">SSRG International Journal of Mechanical Engineering (SSRG-IJME) , </w:t>
              </w:r>
              <w:r>
                <w:rPr>
                  <w:noProof/>
                </w:rPr>
                <w:t>3(5).</w:t>
              </w:r>
            </w:p>
            <w:p w:rsidR="0009397E" w:rsidRDefault="0009397E" w:rsidP="009F3255">
              <w:pPr>
                <w:pStyle w:val="Bibliography"/>
                <w:rPr>
                  <w:noProof/>
                </w:rPr>
              </w:pPr>
            </w:p>
            <w:p w:rsidR="009F3255" w:rsidRDefault="009F3255" w:rsidP="009F3255">
              <w:pPr>
                <w:pStyle w:val="Bibliography"/>
                <w:rPr>
                  <w:noProof/>
                </w:rPr>
              </w:pPr>
              <w:r>
                <w:rPr>
                  <w:noProof/>
                </w:rPr>
                <w:t xml:space="preserve">Rossheim, J., 2019. </w:t>
              </w:r>
              <w:r>
                <w:rPr>
                  <w:i/>
                  <w:iCs/>
                  <w:noProof/>
                </w:rPr>
                <w:t xml:space="preserve">Environmental Accountants Do It for the Green, </w:t>
              </w:r>
              <w:r>
                <w:rPr>
                  <w:noProof/>
                </w:rPr>
                <w:t>s.l.: Monster.</w:t>
              </w:r>
            </w:p>
            <w:p w:rsidR="009F3255" w:rsidRDefault="009F3255" w:rsidP="009F3255">
              <w:pPr>
                <w:pStyle w:val="Bibliography"/>
                <w:rPr>
                  <w:noProof/>
                </w:rPr>
              </w:pPr>
              <w:r>
                <w:rPr>
                  <w:noProof/>
                </w:rPr>
                <w:t xml:space="preserve">SEPA, 2019. </w:t>
              </w:r>
              <w:r>
                <w:rPr>
                  <w:i/>
                  <w:iCs/>
                  <w:noProof/>
                </w:rPr>
                <w:t xml:space="preserve">Scottish Environmental Protection Agency. </w:t>
              </w:r>
              <w:r>
                <w:rPr>
                  <w:noProof/>
                </w:rPr>
                <w:t xml:space="preserve">[Online] </w:t>
              </w:r>
              <w:r>
                <w:rPr>
                  <w:noProof/>
                </w:rPr>
                <w:br/>
                <w:t xml:space="preserve">Available at: </w:t>
              </w:r>
              <w:r>
                <w:rPr>
                  <w:noProof/>
                  <w:u w:val="single"/>
                </w:rPr>
                <w:t>https://www.sepa.org.uk/regulations/water/abstractions/</w:t>
              </w:r>
              <w:r>
                <w:rPr>
                  <w:noProof/>
                </w:rPr>
                <w:br/>
                <w:t>[Accessed 26 March 2019].</w:t>
              </w:r>
            </w:p>
            <w:p w:rsidR="009F3255" w:rsidRDefault="009F3255" w:rsidP="009F3255">
              <w:pPr>
                <w:pStyle w:val="Bibliography"/>
                <w:rPr>
                  <w:noProof/>
                </w:rPr>
              </w:pPr>
              <w:r>
                <w:rPr>
                  <w:noProof/>
                </w:rPr>
                <w:t xml:space="preserve">Speroff, T. &amp; O'Conner, G., 2004. Study designs for PDSA quality improvement research. </w:t>
              </w:r>
              <w:r>
                <w:rPr>
                  <w:i/>
                  <w:iCs/>
                  <w:noProof/>
                </w:rPr>
                <w:t xml:space="preserve">Quality Management Health care, </w:t>
              </w:r>
              <w:r>
                <w:rPr>
                  <w:noProof/>
                </w:rPr>
                <w:t>Volume 13, pp. 17-32.</w:t>
              </w:r>
            </w:p>
            <w:p w:rsidR="009F3255" w:rsidRDefault="009F3255" w:rsidP="009F3255">
              <w:pPr>
                <w:pStyle w:val="Bibliography"/>
                <w:rPr>
                  <w:noProof/>
                </w:rPr>
              </w:pPr>
              <w:r>
                <w:rPr>
                  <w:noProof/>
                </w:rPr>
                <w:t xml:space="preserve">Taylor, M. et al., 2014. Systematic Review of the application of the plan-do-study-act method to improve quality in healthcare. </w:t>
              </w:r>
              <w:r>
                <w:rPr>
                  <w:i/>
                  <w:iCs/>
                  <w:noProof/>
                </w:rPr>
                <w:t xml:space="preserve">BMJ Qual Saf, </w:t>
              </w:r>
              <w:r>
                <w:rPr>
                  <w:noProof/>
                </w:rPr>
                <w:t>Volume 23, pp. 290-298.</w:t>
              </w:r>
            </w:p>
            <w:p w:rsidR="009F3255" w:rsidRDefault="009F3255" w:rsidP="009F3255">
              <w:pPr>
                <w:pStyle w:val="Bibliography"/>
                <w:rPr>
                  <w:noProof/>
                </w:rPr>
              </w:pPr>
              <w:r>
                <w:rPr>
                  <w:noProof/>
                </w:rPr>
                <w:t xml:space="preserve">Vasovsk, S. &amp; Weinste, J., 2004. </w:t>
              </w:r>
              <w:r>
                <w:rPr>
                  <w:i/>
                  <w:iCs/>
                  <w:noProof/>
                </w:rPr>
                <w:t xml:space="preserve">The PDCA Continuous Improvement Cycle. </w:t>
              </w:r>
              <w:r>
                <w:rPr>
                  <w:noProof/>
                </w:rPr>
                <w:t>s.l.:s.n.</w:t>
              </w:r>
            </w:p>
            <w:p w:rsidR="009F3255" w:rsidRDefault="009F3255" w:rsidP="009F3255">
              <w:r>
                <w:rPr>
                  <w:b/>
                  <w:bCs/>
                  <w:noProof/>
                </w:rPr>
                <w:fldChar w:fldCharType="end"/>
              </w:r>
            </w:p>
          </w:sdtContent>
        </w:sdt>
      </w:sdtContent>
    </w:sdt>
    <w:p w:rsidR="00B57C16" w:rsidRPr="00B57C16" w:rsidRDefault="00B57C16" w:rsidP="00B57C16"/>
    <w:sectPr w:rsidR="00B57C16" w:rsidRPr="00B57C16" w:rsidSect="0009397E">
      <w:pgSz w:w="11906" w:h="16838" w:code="9"/>
      <w:pgMar w:top="-954" w:right="1440" w:bottom="1440" w:left="1440" w:header="0"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03F5" w:rsidRDefault="00A903F5" w:rsidP="00E438BF">
      <w:pPr>
        <w:spacing w:after="0" w:line="240" w:lineRule="auto"/>
      </w:pPr>
      <w:r>
        <w:separator/>
      </w:r>
    </w:p>
  </w:endnote>
  <w:endnote w:type="continuationSeparator" w:id="0">
    <w:p w:rsidR="00A903F5" w:rsidRDefault="00A903F5" w:rsidP="00E4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03F5" w:rsidRDefault="00A903F5" w:rsidP="00E438BF">
      <w:pPr>
        <w:spacing w:after="0" w:line="240" w:lineRule="auto"/>
      </w:pPr>
      <w:r>
        <w:separator/>
      </w:r>
    </w:p>
  </w:footnote>
  <w:footnote w:type="continuationSeparator" w:id="0">
    <w:p w:rsidR="00A903F5" w:rsidRDefault="00A903F5" w:rsidP="00E43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0333392"/>
      <w:docPartObj>
        <w:docPartGallery w:val="Page Numbers (Top of Page)"/>
        <w:docPartUnique/>
      </w:docPartObj>
    </w:sdtPr>
    <w:sdtEndPr/>
    <w:sdtContent>
      <w:p w:rsidR="005239F8" w:rsidRDefault="005239F8">
        <w:pPr>
          <w:pStyle w:val="Header"/>
          <w:jc w:val="right"/>
        </w:pPr>
      </w:p>
      <w:p w:rsidR="00610285" w:rsidRPr="00610285" w:rsidRDefault="00610285">
        <w:pPr>
          <w:pStyle w:val="Header"/>
          <w:jc w:val="right"/>
          <w:rPr>
            <w:rFonts w:cs="Arial"/>
            <w:szCs w:val="24"/>
          </w:rPr>
        </w:pPr>
        <w:r w:rsidRPr="00610285">
          <w:rPr>
            <w:rFonts w:cs="Arial"/>
            <w:szCs w:val="24"/>
          </w:rPr>
          <w:t>Mr Stuart Clark</w:t>
        </w:r>
      </w:p>
      <w:p w:rsidR="00610285" w:rsidRPr="00610285" w:rsidRDefault="0058304A" w:rsidP="0058304A">
        <w:pPr>
          <w:pStyle w:val="Header"/>
          <w:rPr>
            <w:rFonts w:cs="Arial"/>
            <w:szCs w:val="24"/>
            <w:shd w:val="clear" w:color="auto" w:fill="FFFFFF"/>
          </w:rPr>
        </w:pPr>
        <w:r>
          <w:rPr>
            <w:rFonts w:cs="Arial"/>
            <w:szCs w:val="24"/>
            <w:shd w:val="clear" w:color="auto" w:fill="FFFFFF"/>
          </w:rPr>
          <w:tab/>
        </w:r>
        <w:r>
          <w:rPr>
            <w:rFonts w:cs="Arial"/>
            <w:szCs w:val="24"/>
            <w:shd w:val="clear" w:color="auto" w:fill="FFFFFF"/>
          </w:rPr>
          <w:tab/>
        </w:r>
        <w:r w:rsidR="00610285" w:rsidRPr="00610285">
          <w:rPr>
            <w:rFonts w:cs="Arial"/>
            <w:szCs w:val="24"/>
            <w:shd w:val="clear" w:color="auto" w:fill="FFFFFF"/>
          </w:rPr>
          <w:t>28519</w:t>
        </w:r>
      </w:p>
      <w:p w:rsidR="00610285" w:rsidRPr="00610285" w:rsidRDefault="00610285">
        <w:pPr>
          <w:pStyle w:val="Header"/>
          <w:jc w:val="right"/>
          <w:rPr>
            <w:rFonts w:cs="Arial"/>
            <w:szCs w:val="24"/>
            <w:shd w:val="clear" w:color="auto" w:fill="FFFFFF"/>
          </w:rPr>
        </w:pPr>
        <w:r w:rsidRPr="00610285">
          <w:rPr>
            <w:rFonts w:cs="Arial"/>
            <w:szCs w:val="24"/>
            <w:shd w:val="clear" w:color="auto" w:fill="FFFFFF"/>
          </w:rPr>
          <w:t xml:space="preserve">Assignment </w:t>
        </w:r>
        <w:r w:rsidR="0058304A">
          <w:rPr>
            <w:rFonts w:cs="Arial"/>
            <w:szCs w:val="24"/>
            <w:shd w:val="clear" w:color="auto" w:fill="FFFFFF"/>
          </w:rPr>
          <w:t>3</w:t>
        </w:r>
      </w:p>
      <w:p w:rsidR="00610285" w:rsidRDefault="00610285">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09397E">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09397E">
          <w:rPr>
            <w:b/>
            <w:bCs/>
            <w:noProof/>
          </w:rPr>
          <w:t>7</w:t>
        </w:r>
        <w:r>
          <w:rPr>
            <w:b/>
            <w:bCs/>
            <w:szCs w:val="24"/>
          </w:rPr>
          <w:fldChar w:fldCharType="end"/>
        </w:r>
      </w:p>
    </w:sdtContent>
  </w:sdt>
  <w:p w:rsidR="00E438BF" w:rsidRPr="00E438BF" w:rsidRDefault="00E438BF" w:rsidP="00E438BF">
    <w:pPr>
      <w:pStyle w:val="Header"/>
      <w:jc w:val="right"/>
      <w:rPr>
        <w:rFonts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4280115"/>
      <w:docPartObj>
        <w:docPartGallery w:val="Page Numbers (Top of Page)"/>
        <w:docPartUnique/>
      </w:docPartObj>
    </w:sdtPr>
    <w:sdtContent>
      <w:p w:rsidR="001F60A1" w:rsidRDefault="001F60A1" w:rsidP="001F60A1">
        <w:pPr>
          <w:pStyle w:val="Header"/>
          <w:jc w:val="right"/>
        </w:pPr>
      </w:p>
      <w:p w:rsidR="001F60A1" w:rsidRDefault="001F60A1" w:rsidP="001F60A1">
        <w:pPr>
          <w:pStyle w:val="Header"/>
          <w:jc w:val="right"/>
        </w:pPr>
      </w:p>
    </w:sdtContent>
  </w:sdt>
  <w:p w:rsidR="00074B0A" w:rsidRDefault="009F3255" w:rsidP="00074B0A">
    <w:pPr>
      <w:pStyle w:val="Header"/>
      <w:jc w:val="right"/>
    </w:pPr>
    <w:r>
      <w:tab/>
    </w:r>
    <w:r>
      <w:tab/>
    </w:r>
  </w:p>
  <w:sdt>
    <w:sdtPr>
      <w:id w:val="-1768230921"/>
      <w:docPartObj>
        <w:docPartGallery w:val="Page Numbers (Top of Page)"/>
        <w:docPartUnique/>
      </w:docPartObj>
    </w:sdtPr>
    <w:sdtContent>
      <w:p w:rsidR="00074B0A" w:rsidRDefault="00074B0A" w:rsidP="00074B0A">
        <w:pPr>
          <w:pStyle w:val="Header"/>
          <w:jc w:val="right"/>
        </w:pPr>
      </w:p>
      <w:p w:rsidR="00074B0A" w:rsidRDefault="00074B0A" w:rsidP="00074B0A">
        <w:pPr>
          <w:pStyle w:val="Header"/>
          <w:jc w:val="right"/>
        </w:pPr>
      </w:p>
    </w:sdtContent>
  </w:sdt>
  <w:p w:rsidR="009F3255" w:rsidRDefault="009F32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6119593"/>
      <w:docPartObj>
        <w:docPartGallery w:val="Page Numbers (Top of Page)"/>
        <w:docPartUnique/>
      </w:docPartObj>
    </w:sdtPr>
    <w:sdtContent>
      <w:p w:rsidR="001F60A1" w:rsidRDefault="001F60A1" w:rsidP="001F60A1">
        <w:pPr>
          <w:pStyle w:val="Header"/>
          <w:jc w:val="right"/>
        </w:pPr>
      </w:p>
      <w:p w:rsidR="001F60A1" w:rsidRDefault="001F60A1" w:rsidP="001F60A1">
        <w:pPr>
          <w:pStyle w:val="Header"/>
          <w:tabs>
            <w:tab w:val="left" w:pos="12661"/>
            <w:tab w:val="right" w:pos="15154"/>
          </w:tabs>
        </w:pPr>
        <w:r>
          <w:tab/>
        </w:r>
        <w:r>
          <w:tab/>
        </w:r>
        <w:r>
          <w:tab/>
        </w:r>
        <w:r>
          <w:t>Mr Stuart Clark</w:t>
        </w:r>
      </w:p>
      <w:p w:rsidR="001F60A1" w:rsidRDefault="001F60A1" w:rsidP="001F60A1">
        <w:pPr>
          <w:pStyle w:val="Header"/>
          <w:tabs>
            <w:tab w:val="left" w:pos="12661"/>
            <w:tab w:val="right" w:pos="15154"/>
          </w:tabs>
        </w:pPr>
        <w:r>
          <w:tab/>
        </w:r>
        <w:r>
          <w:tab/>
        </w:r>
        <w:r>
          <w:tab/>
        </w:r>
        <w:r>
          <w:t>28519</w:t>
        </w:r>
      </w:p>
      <w:p w:rsidR="001F60A1" w:rsidRDefault="001F60A1" w:rsidP="001F60A1">
        <w:pPr>
          <w:pStyle w:val="Header"/>
          <w:tabs>
            <w:tab w:val="left" w:pos="12661"/>
            <w:tab w:val="right" w:pos="15154"/>
          </w:tabs>
        </w:pPr>
        <w:r>
          <w:tab/>
        </w:r>
        <w:r>
          <w:tab/>
        </w:r>
        <w:r>
          <w:tab/>
        </w:r>
        <w:r>
          <w:t xml:space="preserve">Assignment </w:t>
        </w:r>
        <w:r>
          <w:t>3</w:t>
        </w:r>
      </w:p>
      <w:p w:rsidR="001F60A1" w:rsidRDefault="001F60A1" w:rsidP="001F60A1">
        <w:pPr>
          <w:pStyle w:val="Header"/>
          <w:tabs>
            <w:tab w:val="left" w:pos="12661"/>
            <w:tab w:val="right" w:pos="15154"/>
          </w:tabs>
        </w:pPr>
        <w:r>
          <w:tab/>
        </w:r>
        <w:r>
          <w:tab/>
        </w:r>
        <w:r>
          <w:tab/>
        </w:r>
        <w:r>
          <w:t>Page 4 of 8</w:t>
        </w:r>
      </w:p>
    </w:sdtContent>
  </w:sdt>
  <w:p w:rsidR="001F60A1" w:rsidRDefault="001F60A1" w:rsidP="00074B0A">
    <w:pPr>
      <w:pStyle w:val="Header"/>
      <w:jc w:val="right"/>
    </w:pPr>
    <w:r>
      <w:tab/>
    </w:r>
    <w:r>
      <w:tab/>
    </w:r>
  </w:p>
  <w:sdt>
    <w:sdtPr>
      <w:id w:val="-939519585"/>
      <w:docPartObj>
        <w:docPartGallery w:val="Page Numbers (Top of Page)"/>
        <w:docPartUnique/>
      </w:docPartObj>
    </w:sdtPr>
    <w:sdtContent>
      <w:p w:rsidR="001F60A1" w:rsidRDefault="001F60A1" w:rsidP="00074B0A">
        <w:pPr>
          <w:pStyle w:val="Header"/>
          <w:jc w:val="right"/>
        </w:pPr>
      </w:p>
      <w:p w:rsidR="001F60A1" w:rsidRDefault="001F60A1" w:rsidP="00074B0A">
        <w:pPr>
          <w:pStyle w:val="Header"/>
          <w:jc w:val="right"/>
        </w:pPr>
      </w:p>
    </w:sdtContent>
  </w:sdt>
  <w:p w:rsidR="001F60A1" w:rsidRDefault="001F60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300"/>
    <w:multiLevelType w:val="hybridMultilevel"/>
    <w:tmpl w:val="24203F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9D5FFC"/>
    <w:multiLevelType w:val="hybridMultilevel"/>
    <w:tmpl w:val="0C5C983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0DFA6202"/>
    <w:multiLevelType w:val="hybridMultilevel"/>
    <w:tmpl w:val="2F7E476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1EE0128"/>
    <w:multiLevelType w:val="hybridMultilevel"/>
    <w:tmpl w:val="FA005A00"/>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4">
    <w:nsid w:val="157F4DBF"/>
    <w:multiLevelType w:val="hybridMultilevel"/>
    <w:tmpl w:val="7738337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5">
    <w:nsid w:val="373D7059"/>
    <w:multiLevelType w:val="hybridMultilevel"/>
    <w:tmpl w:val="ADE26A8E"/>
    <w:lvl w:ilvl="0" w:tplc="0809000F">
      <w:start w:val="1"/>
      <w:numFmt w:val="decimal"/>
      <w:lvlText w:val="%1."/>
      <w:lvlJc w:val="left"/>
      <w:pPr>
        <w:ind w:left="3600" w:hanging="360"/>
      </w:pPr>
    </w:lvl>
    <w:lvl w:ilvl="1" w:tplc="08090019" w:tentative="1">
      <w:start w:val="1"/>
      <w:numFmt w:val="lowerLetter"/>
      <w:lvlText w:val="%2."/>
      <w:lvlJc w:val="left"/>
      <w:pPr>
        <w:ind w:left="4320" w:hanging="360"/>
      </w:pPr>
    </w:lvl>
    <w:lvl w:ilvl="2" w:tplc="0809001B" w:tentative="1">
      <w:start w:val="1"/>
      <w:numFmt w:val="lowerRoman"/>
      <w:lvlText w:val="%3."/>
      <w:lvlJc w:val="right"/>
      <w:pPr>
        <w:ind w:left="5040" w:hanging="180"/>
      </w:pPr>
    </w:lvl>
    <w:lvl w:ilvl="3" w:tplc="0809000F" w:tentative="1">
      <w:start w:val="1"/>
      <w:numFmt w:val="decimal"/>
      <w:lvlText w:val="%4."/>
      <w:lvlJc w:val="left"/>
      <w:pPr>
        <w:ind w:left="5760" w:hanging="360"/>
      </w:pPr>
    </w:lvl>
    <w:lvl w:ilvl="4" w:tplc="08090019" w:tentative="1">
      <w:start w:val="1"/>
      <w:numFmt w:val="lowerLetter"/>
      <w:lvlText w:val="%5."/>
      <w:lvlJc w:val="left"/>
      <w:pPr>
        <w:ind w:left="6480" w:hanging="360"/>
      </w:pPr>
    </w:lvl>
    <w:lvl w:ilvl="5" w:tplc="0809001B" w:tentative="1">
      <w:start w:val="1"/>
      <w:numFmt w:val="lowerRoman"/>
      <w:lvlText w:val="%6."/>
      <w:lvlJc w:val="right"/>
      <w:pPr>
        <w:ind w:left="7200" w:hanging="180"/>
      </w:pPr>
    </w:lvl>
    <w:lvl w:ilvl="6" w:tplc="0809000F" w:tentative="1">
      <w:start w:val="1"/>
      <w:numFmt w:val="decimal"/>
      <w:lvlText w:val="%7."/>
      <w:lvlJc w:val="left"/>
      <w:pPr>
        <w:ind w:left="7920" w:hanging="360"/>
      </w:pPr>
    </w:lvl>
    <w:lvl w:ilvl="7" w:tplc="08090019" w:tentative="1">
      <w:start w:val="1"/>
      <w:numFmt w:val="lowerLetter"/>
      <w:lvlText w:val="%8."/>
      <w:lvlJc w:val="left"/>
      <w:pPr>
        <w:ind w:left="8640" w:hanging="360"/>
      </w:pPr>
    </w:lvl>
    <w:lvl w:ilvl="8" w:tplc="0809001B" w:tentative="1">
      <w:start w:val="1"/>
      <w:numFmt w:val="lowerRoman"/>
      <w:lvlText w:val="%9."/>
      <w:lvlJc w:val="right"/>
      <w:pPr>
        <w:ind w:left="9360" w:hanging="180"/>
      </w:pPr>
    </w:lvl>
  </w:abstractNum>
  <w:abstractNum w:abstractNumId="6">
    <w:nsid w:val="3D900221"/>
    <w:multiLevelType w:val="hybridMultilevel"/>
    <w:tmpl w:val="BCDCFDD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nsid w:val="3FDE7631"/>
    <w:multiLevelType w:val="hybridMultilevel"/>
    <w:tmpl w:val="F34C5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F02953"/>
    <w:multiLevelType w:val="hybridMultilevel"/>
    <w:tmpl w:val="3A9A98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6771AC"/>
    <w:multiLevelType w:val="hybridMultilevel"/>
    <w:tmpl w:val="F0D6C0FC"/>
    <w:lvl w:ilvl="0" w:tplc="991C68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45451D2C"/>
    <w:multiLevelType w:val="hybridMultilevel"/>
    <w:tmpl w:val="8C3C81C0"/>
    <w:lvl w:ilvl="0" w:tplc="1DC43216">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915F64"/>
    <w:multiLevelType w:val="hybridMultilevel"/>
    <w:tmpl w:val="9FAC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5B71158"/>
    <w:multiLevelType w:val="hybridMultilevel"/>
    <w:tmpl w:val="002AA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B877A07"/>
    <w:multiLevelType w:val="hybridMultilevel"/>
    <w:tmpl w:val="4CD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6D467515"/>
    <w:multiLevelType w:val="hybridMultilevel"/>
    <w:tmpl w:val="D3AE4E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nsid w:val="7A2E14E0"/>
    <w:multiLevelType w:val="hybridMultilevel"/>
    <w:tmpl w:val="8756997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1"/>
  </w:num>
  <w:num w:numId="2">
    <w:abstractNumId w:val="12"/>
  </w:num>
  <w:num w:numId="3">
    <w:abstractNumId w:val="13"/>
  </w:num>
  <w:num w:numId="4">
    <w:abstractNumId w:val="0"/>
  </w:num>
  <w:num w:numId="5">
    <w:abstractNumId w:val="9"/>
  </w:num>
  <w:num w:numId="6">
    <w:abstractNumId w:val="15"/>
  </w:num>
  <w:num w:numId="7">
    <w:abstractNumId w:val="8"/>
  </w:num>
  <w:num w:numId="8">
    <w:abstractNumId w:val="2"/>
  </w:num>
  <w:num w:numId="9">
    <w:abstractNumId w:val="7"/>
  </w:num>
  <w:num w:numId="10">
    <w:abstractNumId w:val="10"/>
  </w:num>
  <w:num w:numId="11">
    <w:abstractNumId w:val="6"/>
  </w:num>
  <w:num w:numId="12">
    <w:abstractNumId w:val="1"/>
  </w:num>
  <w:num w:numId="13">
    <w:abstractNumId w:val="14"/>
  </w:num>
  <w:num w:numId="14">
    <w:abstractNumId w:val="5"/>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8BF"/>
    <w:rsid w:val="0003069C"/>
    <w:rsid w:val="000731DA"/>
    <w:rsid w:val="00074B0A"/>
    <w:rsid w:val="0009397E"/>
    <w:rsid w:val="000A6147"/>
    <w:rsid w:val="00114A46"/>
    <w:rsid w:val="00130904"/>
    <w:rsid w:val="001926C6"/>
    <w:rsid w:val="001F60A1"/>
    <w:rsid w:val="00201D2E"/>
    <w:rsid w:val="00204A0B"/>
    <w:rsid w:val="00255B56"/>
    <w:rsid w:val="00256F6F"/>
    <w:rsid w:val="0027261B"/>
    <w:rsid w:val="0029243A"/>
    <w:rsid w:val="002D0BD5"/>
    <w:rsid w:val="002F7BE6"/>
    <w:rsid w:val="003023B6"/>
    <w:rsid w:val="00356387"/>
    <w:rsid w:val="003B3092"/>
    <w:rsid w:val="003E2B80"/>
    <w:rsid w:val="004360ED"/>
    <w:rsid w:val="005239F8"/>
    <w:rsid w:val="005508F1"/>
    <w:rsid w:val="0058304A"/>
    <w:rsid w:val="005F4BFC"/>
    <w:rsid w:val="00610285"/>
    <w:rsid w:val="006E3FCA"/>
    <w:rsid w:val="007113BC"/>
    <w:rsid w:val="007A7FCF"/>
    <w:rsid w:val="00804720"/>
    <w:rsid w:val="008178A6"/>
    <w:rsid w:val="008814CF"/>
    <w:rsid w:val="00891AEF"/>
    <w:rsid w:val="009405F3"/>
    <w:rsid w:val="00950253"/>
    <w:rsid w:val="00956BD7"/>
    <w:rsid w:val="0097190F"/>
    <w:rsid w:val="00994C72"/>
    <w:rsid w:val="009A6E5E"/>
    <w:rsid w:val="009F3255"/>
    <w:rsid w:val="00A825DF"/>
    <w:rsid w:val="00A903F5"/>
    <w:rsid w:val="00AD1D08"/>
    <w:rsid w:val="00B21F22"/>
    <w:rsid w:val="00B421BE"/>
    <w:rsid w:val="00B57C16"/>
    <w:rsid w:val="00B633FA"/>
    <w:rsid w:val="00BA1A98"/>
    <w:rsid w:val="00C0185D"/>
    <w:rsid w:val="00C62C53"/>
    <w:rsid w:val="00C95A76"/>
    <w:rsid w:val="00CC6D74"/>
    <w:rsid w:val="00D31012"/>
    <w:rsid w:val="00D823AB"/>
    <w:rsid w:val="00E330B6"/>
    <w:rsid w:val="00E438BF"/>
    <w:rsid w:val="00E96266"/>
    <w:rsid w:val="00EC3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CF"/>
    <w:rPr>
      <w:rFonts w:ascii="Arial" w:hAnsi="Arial"/>
      <w:sz w:val="24"/>
    </w:rPr>
  </w:style>
  <w:style w:type="paragraph" w:styleId="Heading1">
    <w:name w:val="heading 1"/>
    <w:basedOn w:val="Normal"/>
    <w:next w:val="Normal"/>
    <w:link w:val="Heading1Char"/>
    <w:uiPriority w:val="9"/>
    <w:qFormat/>
    <w:rsid w:val="009F32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7F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8BF"/>
  </w:style>
  <w:style w:type="paragraph" w:styleId="Footer">
    <w:name w:val="footer"/>
    <w:basedOn w:val="Normal"/>
    <w:link w:val="FooterChar"/>
    <w:uiPriority w:val="99"/>
    <w:unhideWhenUsed/>
    <w:rsid w:val="00E43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8BF"/>
  </w:style>
  <w:style w:type="paragraph" w:styleId="BalloonText">
    <w:name w:val="Balloon Text"/>
    <w:basedOn w:val="Normal"/>
    <w:link w:val="BalloonTextChar"/>
    <w:uiPriority w:val="99"/>
    <w:semiHidden/>
    <w:unhideWhenUsed/>
    <w:rsid w:val="002F7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BE6"/>
    <w:rPr>
      <w:rFonts w:ascii="Tahoma" w:hAnsi="Tahoma" w:cs="Tahoma"/>
      <w:sz w:val="16"/>
      <w:szCs w:val="16"/>
    </w:rPr>
  </w:style>
  <w:style w:type="paragraph" w:styleId="ListParagraph">
    <w:name w:val="List Paragraph"/>
    <w:basedOn w:val="Normal"/>
    <w:uiPriority w:val="34"/>
    <w:qFormat/>
    <w:rsid w:val="0029243A"/>
    <w:pPr>
      <w:ind w:left="720"/>
      <w:contextualSpacing/>
    </w:pPr>
  </w:style>
  <w:style w:type="paragraph" w:styleId="Caption">
    <w:name w:val="caption"/>
    <w:basedOn w:val="Normal"/>
    <w:next w:val="Normal"/>
    <w:uiPriority w:val="35"/>
    <w:unhideWhenUsed/>
    <w:qFormat/>
    <w:rsid w:val="000731DA"/>
    <w:pPr>
      <w:spacing w:line="240" w:lineRule="auto"/>
    </w:pPr>
    <w:rPr>
      <w:b/>
      <w:bCs/>
      <w:color w:val="4F81BD" w:themeColor="accent1"/>
      <w:sz w:val="18"/>
      <w:szCs w:val="18"/>
    </w:rPr>
  </w:style>
  <w:style w:type="paragraph" w:styleId="NoSpacing">
    <w:name w:val="No Spacing"/>
    <w:link w:val="NoSpacingChar"/>
    <w:uiPriority w:val="1"/>
    <w:qFormat/>
    <w:rsid w:val="00A825D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825DF"/>
    <w:rPr>
      <w:rFonts w:eastAsiaTheme="minorEastAsia"/>
      <w:lang w:val="en-US" w:eastAsia="ja-JP"/>
    </w:rPr>
  </w:style>
  <w:style w:type="paragraph" w:customStyle="1" w:styleId="Default">
    <w:name w:val="Default"/>
    <w:rsid w:val="00A825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25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178A6"/>
  </w:style>
  <w:style w:type="character" w:customStyle="1" w:styleId="Heading2Char">
    <w:name w:val="Heading 2 Char"/>
    <w:basedOn w:val="DefaultParagraphFont"/>
    <w:link w:val="Heading2"/>
    <w:uiPriority w:val="9"/>
    <w:rsid w:val="007A7FC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3255"/>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CF"/>
    <w:rPr>
      <w:rFonts w:ascii="Arial" w:hAnsi="Arial"/>
      <w:sz w:val="24"/>
    </w:rPr>
  </w:style>
  <w:style w:type="paragraph" w:styleId="Heading1">
    <w:name w:val="heading 1"/>
    <w:basedOn w:val="Normal"/>
    <w:next w:val="Normal"/>
    <w:link w:val="Heading1Char"/>
    <w:uiPriority w:val="9"/>
    <w:qFormat/>
    <w:rsid w:val="009F325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A7F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8BF"/>
  </w:style>
  <w:style w:type="paragraph" w:styleId="Footer">
    <w:name w:val="footer"/>
    <w:basedOn w:val="Normal"/>
    <w:link w:val="FooterChar"/>
    <w:uiPriority w:val="99"/>
    <w:unhideWhenUsed/>
    <w:rsid w:val="00E43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8BF"/>
  </w:style>
  <w:style w:type="paragraph" w:styleId="BalloonText">
    <w:name w:val="Balloon Text"/>
    <w:basedOn w:val="Normal"/>
    <w:link w:val="BalloonTextChar"/>
    <w:uiPriority w:val="99"/>
    <w:semiHidden/>
    <w:unhideWhenUsed/>
    <w:rsid w:val="002F7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BE6"/>
    <w:rPr>
      <w:rFonts w:ascii="Tahoma" w:hAnsi="Tahoma" w:cs="Tahoma"/>
      <w:sz w:val="16"/>
      <w:szCs w:val="16"/>
    </w:rPr>
  </w:style>
  <w:style w:type="paragraph" w:styleId="ListParagraph">
    <w:name w:val="List Paragraph"/>
    <w:basedOn w:val="Normal"/>
    <w:uiPriority w:val="34"/>
    <w:qFormat/>
    <w:rsid w:val="0029243A"/>
    <w:pPr>
      <w:ind w:left="720"/>
      <w:contextualSpacing/>
    </w:pPr>
  </w:style>
  <w:style w:type="paragraph" w:styleId="Caption">
    <w:name w:val="caption"/>
    <w:basedOn w:val="Normal"/>
    <w:next w:val="Normal"/>
    <w:uiPriority w:val="35"/>
    <w:unhideWhenUsed/>
    <w:qFormat/>
    <w:rsid w:val="000731DA"/>
    <w:pPr>
      <w:spacing w:line="240" w:lineRule="auto"/>
    </w:pPr>
    <w:rPr>
      <w:b/>
      <w:bCs/>
      <w:color w:val="4F81BD" w:themeColor="accent1"/>
      <w:sz w:val="18"/>
      <w:szCs w:val="18"/>
    </w:rPr>
  </w:style>
  <w:style w:type="paragraph" w:styleId="NoSpacing">
    <w:name w:val="No Spacing"/>
    <w:link w:val="NoSpacingChar"/>
    <w:uiPriority w:val="1"/>
    <w:qFormat/>
    <w:rsid w:val="00A825D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825DF"/>
    <w:rPr>
      <w:rFonts w:eastAsiaTheme="minorEastAsia"/>
      <w:lang w:val="en-US" w:eastAsia="ja-JP"/>
    </w:rPr>
  </w:style>
  <w:style w:type="paragraph" w:customStyle="1" w:styleId="Default">
    <w:name w:val="Default"/>
    <w:rsid w:val="00A825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25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178A6"/>
  </w:style>
  <w:style w:type="character" w:customStyle="1" w:styleId="Heading2Char">
    <w:name w:val="Heading 2 Char"/>
    <w:basedOn w:val="DefaultParagraphFont"/>
    <w:link w:val="Heading2"/>
    <w:uiPriority w:val="9"/>
    <w:rsid w:val="007A7FCF"/>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F3255"/>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package" Target="embeddings/Microsoft_Visio_Drawing2.vsdx"/><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legislation.gov.uk/ssi/2011/209/contents/made" TargetMode="External"/><Relationship Id="rId17"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package" Target="embeddings/Microsoft_Visio_Drawing1.vsdx"/><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gislation.gov.uk/ssi/2012/360/schedule/1/made"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http://www.legislation.gov.uk/ssi/2012/360/schedule/1/made"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Pra16</b:Tag>
    <b:SourceType>JournalArticle</b:SourceType>
    <b:Guid>{083D572A-D308-4CB9-89C4-3DBC26C6A201}</b:Guid>
    <b:Title>An Introduction to the Concept of Environmental Management: Indian Context</b:Title>
    <b:Year>2016</b:Year>
    <b:Author>
      <b:Author>
        <b:NameList>
          <b:Person>
            <b:Last>Das</b:Last>
            <b:First>Pradip</b:First>
            <b:Middle>Kumar</b:Middle>
          </b:Person>
        </b:NameList>
      </b:Author>
    </b:Author>
    <b:JournalName>International Journal of Innovation and Economic Development</b:JournalName>
    <b:Pages>25-34</b:Pages>
    <b:Volume>2</b:Volume>
    <b:Issue>4</b:Issue>
    <b:RefOrder>2</b:RefOrder>
  </b:Source>
  <b:Source>
    <b:Tag>Lou09</b:Tag>
    <b:SourceType>Book</b:SourceType>
    <b:Guid>{40AB0537-8288-4CC7-BC01-ADC69CBA020B}</b:Guid>
    <b:Title>Environmental management in South Africa</b:Title>
    <b:Year>2009</b:Year>
    <b:Edition>2nd Edition</b:Edition>
    <b:Author>
      <b:Author>
        <b:NameList>
          <b:Person>
            <b:Last>Kotze</b:Last>
            <b:First>Louis</b:First>
          </b:Person>
          <b:Person>
            <b:Last>JG</b:Last>
            <b:First>Nel</b:First>
          </b:Person>
        </b:NameList>
      </b:Author>
    </b:Author>
    <b:RefOrder>3</b:RefOrder>
  </b:Source>
  <b:Source>
    <b:Tag>ADi16</b:Tag>
    <b:SourceType>JournalArticle</b:SourceType>
    <b:Guid>{B8D2AD7B-A43C-40BE-8E3E-DB94EE2A3CBC}</b:Guid>
    <b:Title>Implementation and Benefits of Environmental Management System</b:Title>
    <b:Year>2016</b:Year>
    <b:Author>
      <b:Author>
        <b:NameList>
          <b:Person>
            <b:Last>Dionis</b:Last>
            <b:First>A.</b:First>
          </b:Person>
          <b:Person>
            <b:Last>Adrian</b:Last>
            <b:First>M.</b:First>
          </b:Person>
          <b:Person>
            <b:Last>Gonzalez</b:Last>
            <b:First>J.</b:First>
          </b:Person>
          <b:Person>
            <b:Last>Luis</b:Last>
            <b:First>S.</b:First>
          </b:Person>
          <b:Person>
            <b:Last>Padron</b:Last>
            <b:First>F.</b:First>
          </b:Person>
          <b:Person>
            <b:Last>Pena</b:Last>
            <b:First>A.</b:First>
          </b:Person>
        </b:NameList>
      </b:Author>
    </b:Author>
    <b:JournalName>Journal of Maritime Research</b:JournalName>
    <b:Pages>77-81</b:Pages>
    <b:Volume>13</b:Volume>
    <b:RefOrder>4</b:RefOrder>
  </b:Source>
  <b:Source>
    <b:Tag>MJE16</b:Tag>
    <b:SourceType>Book</b:SourceType>
    <b:Guid>{9EB143AF-747F-45EF-92C4-5F81F041A3B2}</b:Guid>
    <b:Title>Making Sustainability Work: Best Practices in Managing and Measuring Corporate Social, Environmental, and Economic Impacts</b:Title>
    <b:Year>2016</b:Year>
    <b:Author>
      <b:Author>
        <b:NameList>
          <b:Person>
            <b:Last>Epstein</b:Last>
            <b:First>M</b:First>
            <b:Middle>J</b:Middle>
          </b:Person>
        </b:NameList>
      </b:Author>
    </b:Author>
    <b:Publisher> Berrett-Koehler</b:Publisher>
    <b:RefOrder>5</b:RefOrder>
  </b:Source>
  <b:Source>
    <b:Tag>PLo05</b:Tag>
    <b:SourceType>Book</b:SourceType>
    <b:Guid>{C398CF9E-91BF-493D-B3E6-C477B87EE712}</b:Guid>
    <b:Author>
      <b:Author>
        <b:NameList>
          <b:Person>
            <b:Last>Lochner</b:Last>
            <b:First>P</b:First>
          </b:Person>
        </b:NameList>
      </b:Author>
    </b:Author>
    <b:Title>Guideline for Environmental Management Plans. CSIR Report No ENV-S-C</b:Title>
    <b:Year>2005</b:Year>
    <b:City>Cape Town</b:City>
    <b:Publisher>Department of Environmental Affairs &amp; Development Planning</b:Publisher>
    <b:RefOrder>6</b:RefOrder>
  </b:Source>
  <b:Source>
    <b:Tag>Int18</b:Tag>
    <b:SourceType>InternetSite</b:SourceType>
    <b:Guid>{4223B779-7897-4061-B6AE-D0ACD4F473DF}</b:Guid>
    <b:Title>International Organization for Standardization</b:Title>
    <b:Year>2018</b:Year>
    <b:Author>
      <b:Author>
        <b:Corporate>International Organization for Standardization</b:Corporate>
      </b:Author>
    </b:Author>
    <b:YearAccessed>2019</b:YearAccessed>
    <b:MonthAccessed>January</b:MonthAccessed>
    <b:DayAccessed>23</b:DayAccessed>
    <b:URL>https://www.iso.org/about-us.html</b:URL>
    <b:RefOrder>7</b:RefOrder>
  </b:Source>
  <b:Source>
    <b:Tag>Mar19</b:Tag>
    <b:SourceType>ElectronicSource</b:SourceType>
    <b:Guid>{5243048B-6FC3-48D1-B566-58355FADE2D0}</b:Guid>
    <b:Title>Plan-Do-Check-Act in the ISO 14001 standard</b:Title>
    <b:Year>2019</b:Year>
    <b:Author>
      <b:Author>
        <b:NameList>
          <b:Person>
            <b:Last>Hammar</b:Last>
            <b:First>Mark</b:First>
          </b:Person>
        </b:NameList>
      </b:Author>
    </b:Author>
    <b:Publisher>14001 Academy </b:Publisher>
    <b:RefOrder>8</b:RefOrder>
  </b:Source>
  <b:Source>
    <b:Tag>MTa14</b:Tag>
    <b:SourceType>JournalArticle</b:SourceType>
    <b:Guid>{1F156E5E-B768-431C-9C65-FE890CED69A4}</b:Guid>
    <b:Title>Systematic Review of the application of the plan-do-study-act method to improve quality in healthcare</b:Title>
    <b:Year>2014</b:Year>
    <b:Author>
      <b:Author>
        <b:NameList>
          <b:Person>
            <b:Last>Taylor</b:Last>
            <b:First>M</b:First>
          </b:Person>
          <b:Person>
            <b:Last>McNicholas</b:Last>
            <b:First>C</b:First>
          </b:Person>
          <b:Person>
            <b:Last>Nicolay</b:Last>
            <b:First>C</b:First>
          </b:Person>
          <b:Person>
            <b:Last>Darz</b:Last>
            <b:First>A</b:First>
          </b:Person>
          <b:Person>
            <b:Last>Bell</b:Last>
            <b:First>D</b:First>
          </b:Person>
          <b:Person>
            <b:Last>Reed</b:Last>
            <b:First>J</b:First>
          </b:Person>
        </b:NameList>
      </b:Author>
    </b:Author>
    <b:JournalName>BMJ Qual Saf</b:JournalName>
    <b:Pages>290-298</b:Pages>
    <b:Volume>23</b:Volume>
    <b:RefOrder>9</b:RefOrder>
  </b:Source>
  <b:Source>
    <b:Tag>KAC19</b:Tag>
    <b:SourceType>DocumentFromInternetSite</b:SourceType>
    <b:Guid>{20ACB1E4-F9C8-4B16-82A3-8D6C1F357EE4}</b:Guid>
    <b:Author>
      <b:Author>
        <b:NameList>
          <b:Person>
            <b:Last>K.A.CHANDRAKANTH</b:Last>
          </b:Person>
        </b:NameList>
      </b:Author>
    </b:Author>
    <b:Title>Agile Alliance</b:Title>
    <b:Year>2019</b:Year>
    <b:YearAccessed>2019</b:YearAccessed>
    <b:MonthAccessed>February</b:MonthAccessed>
    <b:DayAccessed>Friday</b:DayAccessed>
    <b:URL>https://www.agilealliance.org/wp-content/uploads/2016/01/PDCA.pdf</b:URL>
    <b:RefOrder>10</b:RefOrder>
  </b:Source>
  <b:Source>
    <b:Tag>Moe06</b:Tag>
    <b:SourceType>ElectronicSource</b:SourceType>
    <b:Guid>{A09BC571-9B22-4225-B095-BED58280BBE0}</b:Guid>
    <b:Author>
      <b:Author>
        <b:NameList>
          <b:Person>
            <b:Last>Moen</b:Last>
            <b:First>R</b:First>
          </b:Person>
          <b:Person>
            <b:Last>Norman</b:Last>
            <b:First>C</b:First>
          </b:Person>
        </b:NameList>
      </b:Author>
    </b:Author>
    <b:Title>Evolution of the PDC</b:Title>
    <b:Year>2006</b:Year>
    <b:RefOrder>11</b:RefOrder>
  </b:Source>
  <b:Source>
    <b:Tag>Mut16</b:Tag>
    <b:SourceType>JournalArticle</b:SourceType>
    <b:Guid>{B77A0309-F5A7-4145-8B40-3F659009765D}</b:Guid>
    <b:Title>PDCA CYCLE</b:Title>
    <b:Year>2016</b:Year>
    <b:Author>
      <b:Author>
        <b:NameList>
          <b:Person>
            <b:Last>Muttu</b:Last>
            <b:First>Saraswath</b:First>
          </b:Person>
          <b:Person>
            <b:Last>Nordin</b:Last>
            <b:First>Norshahrizan</b:First>
          </b:Person>
        </b:NameList>
      </b:Author>
    </b:Author>
    <b:JournalName>SSRG International Journal of Mechanical Engineering (SSRG-IJME) </b:JournalName>
    <b:Volume>3</b:Volume>
    <b:Issue>5</b:Issue>
    <b:RefOrder>12</b:RefOrder>
  </b:Source>
  <b:Source>
    <b:Tag>Ros19</b:Tag>
    <b:SourceType>ElectronicSource</b:SourceType>
    <b:Guid>{2CF38849-9F8B-4AB3-9B41-F560C0B01869}</b:Guid>
    <b:Author>
      <b:Author>
        <b:NameList>
          <b:Person>
            <b:Last>Rossheim</b:Last>
            <b:First>John</b:First>
          </b:Person>
        </b:NameList>
      </b:Author>
    </b:Author>
    <b:Title>Environmental Accountants Do It for the Green</b:Title>
    <b:Year>2019</b:Year>
    <b:Publisher>Monster</b:Publisher>
    <b:RefOrder>13</b:RefOrder>
  </b:Source>
  <b:Source>
    <b:Tag>TSp04</b:Tag>
    <b:SourceType>JournalArticle</b:SourceType>
    <b:Guid>{8708A9DB-637F-4928-A9C0-713C977F900E}</b:Guid>
    <b:Author>
      <b:Author>
        <b:NameList>
          <b:Person>
            <b:Last>Speroff</b:Last>
            <b:First>T</b:First>
          </b:Person>
          <b:Person>
            <b:Last>O'Conner</b:Last>
            <b:First>G</b:First>
          </b:Person>
        </b:NameList>
      </b:Author>
    </b:Author>
    <b:Title>Study designs for PDSA quality improvement research</b:Title>
    <b:JournalName>Quality Management Health care</b:JournalName>
    <b:Year>2004</b:Year>
    <b:Pages>17-32</b:Pages>
    <b:Volume>13</b:Volume>
    <b:RefOrder>14</b:RefOrder>
  </b:Source>
  <b:Source>
    <b:Tag>Ste04</b:Tag>
    <b:SourceType>Misc</b:SourceType>
    <b:Guid>{35727FF8-1BF7-43BD-920B-BCF20829E756}</b:Guid>
    <b:Title>The PDCA Continuous Improvement Cycle</b:Title>
    <b:Year>2004</b:Year>
    <b:Author>
      <b:Author>
        <b:NameList>
          <b:Person>
            <b:Last>Vasovsk</b:Last>
            <b:First>Steve</b:First>
          </b:Person>
          <b:Person>
            <b:Last>Weinste</b:Last>
            <b:First>Jeremy</b:First>
          </b:Person>
        </b:NameList>
      </b:Author>
    </b:Author>
    <b:RefOrder>15</b:RefOrder>
  </b:Source>
  <b:Source>
    <b:Tag>Cob17</b:Tag>
    <b:SourceType>ElectronicSource</b:SourceType>
    <b:Guid>{F4C360AB-BE59-4E97-AF77-FF32BDC2C14B}</b:Guid>
    <b:Author>
      <b:Author>
        <b:Corporate>Cobweb</b:Corporate>
      </b:Author>
    </b:Author>
    <b:Title>BIF100 · Environmental Regulations - An Introduction to</b:Title>
    <b:City>Gateshead</b:City>
    <b:Year>2017</b:Year>
    <b:RefOrder>1</b:RefOrder>
  </b:Source>
  <b:Source>
    <b:Tag>SEP19</b:Tag>
    <b:SourceType>InternetSite</b:SourceType>
    <b:Guid>{D68D0103-F26F-4B21-AE02-1F59658E98EA}</b:Guid>
    <b:Title>Scottish Environmental Protection Agency</b:Title>
    <b:Year>2019</b:Year>
    <b:Author>
      <b:Author>
        <b:Corporate>SEPA</b:Corporate>
      </b:Author>
    </b:Author>
    <b:YearAccessed>2019</b:YearAccessed>
    <b:MonthAccessed>March</b:MonthAccessed>
    <b:DayAccessed>26</b:DayAccessed>
    <b:URL>https://www.sepa.org.uk/regulations/water/abstractions/</b:URL>
    <b:RefOrder>16</b:RefOrder>
  </b:Source>
  <b:Source>
    <b:Tag>Cro12</b:Tag>
    <b:SourceType>Misc</b:SourceType>
    <b:Guid>{3AE07145-F241-4989-AD9A-8CE5D1AAD203}</b:Guid>
    <b:Title>The Pollution Prevention and Control (Scotland) Regulations 2012 </b:Title>
    <b:City>Norwich</b:City>
    <b:Publisher>TSO</b:Publisher>
    <b:Year>2012</b:Year>
    <b:Author>
      <b:Author>
        <b:Corporate>Crown</b:Corporate>
      </b:Author>
    </b:Author>
    <b:RefOrder>17</b:RefOrder>
  </b:Source>
  <b:Source>
    <b:Tag>Cox18</b:Tag>
    <b:SourceType>ElectronicSource</b:SourceType>
    <b:Guid>{8F29023F-5A9E-4457-8E7F-E664786ADC3F}</b:Guid>
    <b:Author>
      <b:Author>
        <b:NameList>
          <b:Person>
            <b:Last>Coxall</b:Last>
          </b:Person>
          <b:Person>
            <b:Last>Hardacre</b:Last>
          </b:Person>
        </b:NameList>
      </b:Author>
    </b:Author>
    <b:Title>Q&amp;A on Environmental Law in UK (England and Wales)</b:Title>
    <b:City>London</b:City>
    <b:Publisher>Clifford Chance LLP</b:Publisher>
    <b:Year>2018</b:Year>
    <b:RefOrder>17</b:RefOrder>
  </b:Source>
  <b:Source>
    <b:Tag>Eur19</b:Tag>
    <b:SourceType>DocumentFromInternetSite</b:SourceType>
    <b:Guid>{CD592C20-77DC-4643-AB1E-8BCB06B6B4F6}</b:Guid>
    <b:Title>The European Commission</b:Title>
    <b:Year>2019</b:Year>
    <b:Author>
      <b:Author>
        <b:Corporate>European Commission</b:Corporate>
      </b:Author>
    </b:Author>
    <b:YearAccessed>2019</b:YearAccessed>
    <b:MonthAccessed>March</b:MonthAccessed>
    <b:DayAccessed>06</b:DayAccessed>
    <b:URL>http://ec.europa.eu/environment/legal/liability/pdf/eld_ms_reports/UK.pdf</b:URL>
    <b:RefOrder>18</b:RefOrder>
  </b:Source>
</b:Sources>
</file>

<file path=customXml/itemProps1.xml><?xml version="1.0" encoding="utf-8"?>
<ds:datastoreItem xmlns:ds="http://schemas.openxmlformats.org/officeDocument/2006/customXml" ds:itemID="{A3011A0A-EE83-4A85-B19F-983731875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1366</Words>
  <Characters>7789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Scottish Water</Company>
  <LinksUpToDate>false</LinksUpToDate>
  <CharactersWithSpaces>9137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Clark</dc:creator>
  <cp:lastModifiedBy>Stuart Clark</cp:lastModifiedBy>
  <cp:revision>2</cp:revision>
  <dcterms:created xsi:type="dcterms:W3CDTF">2019-03-26T17:16:00Z</dcterms:created>
  <dcterms:modified xsi:type="dcterms:W3CDTF">2019-03-26T17:16:00Z</dcterms:modified>
</cp:coreProperties>
</file>